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52E0" w14:textId="77777777" w:rsidR="00ED2B7D" w:rsidRPr="005A73F0" w:rsidRDefault="00ED2B7D" w:rsidP="00345BC8">
      <w:pPr>
        <w:spacing w:after="60"/>
        <w:jc w:val="center"/>
        <w:rPr>
          <w:rFonts w:ascii="Manrope" w:eastAsia="Arial Unicode MS" w:hAnsi="Manrope" w:cs="Arial Unicode MS"/>
          <w:b/>
          <w:color w:val="C61E58"/>
        </w:rPr>
      </w:pPr>
      <w:r w:rsidRPr="005A73F0">
        <w:rPr>
          <w:rFonts w:ascii="Manrope" w:eastAsia="Arial Unicode MS" w:hAnsi="Manrope" w:cs="Arial Unicode MS"/>
          <w:b/>
          <w:color w:val="C61E58"/>
        </w:rPr>
        <w:t>SDĚLENÍ KLÍČOVÝCH INFORMACÍ</w:t>
      </w:r>
    </w:p>
    <w:tbl>
      <w:tblPr>
        <w:tblStyle w:val="Mkatabulky"/>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4481"/>
        <w:gridCol w:w="3032"/>
        <w:gridCol w:w="3368"/>
      </w:tblGrid>
      <w:tr w:rsidR="00ED2B7D" w:rsidRPr="00BF2058" w14:paraId="652FEA30" w14:textId="77777777" w:rsidTr="00BF1EF9">
        <w:tc>
          <w:tcPr>
            <w:tcW w:w="10881" w:type="dxa"/>
            <w:gridSpan w:val="3"/>
            <w:tcBorders>
              <w:top w:val="single" w:sz="12" w:space="0" w:color="A6A6A6" w:themeColor="background1" w:themeShade="A6"/>
              <w:left w:val="nil"/>
              <w:bottom w:val="nil"/>
              <w:right w:val="nil"/>
            </w:tcBorders>
            <w:shd w:val="clear" w:color="auto" w:fill="auto"/>
            <w:vAlign w:val="center"/>
          </w:tcPr>
          <w:p w14:paraId="0B054B8C" w14:textId="77777777" w:rsidR="00ED2B7D" w:rsidRPr="00BF2058" w:rsidRDefault="00ED2B7D" w:rsidP="00436F30">
            <w:pPr>
              <w:spacing w:before="40" w:after="40"/>
              <w:jc w:val="both"/>
              <w:rPr>
                <w:rFonts w:ascii="Manrope" w:eastAsia="Arial Unicode MS" w:hAnsi="Manrope" w:cs="Arial Unicode MS"/>
                <w:b/>
                <w:color w:val="C61E58"/>
                <w:sz w:val="20"/>
                <w:szCs w:val="20"/>
              </w:rPr>
            </w:pPr>
            <w:r w:rsidRPr="00BF2058">
              <w:rPr>
                <w:rFonts w:ascii="Manrope" w:eastAsia="Arial Unicode MS" w:hAnsi="Manrope" w:cs="Arial Unicode MS"/>
                <w:b/>
                <w:color w:val="C61E58"/>
                <w:sz w:val="20"/>
                <w:szCs w:val="20"/>
              </w:rPr>
              <w:t>Účel</w:t>
            </w:r>
          </w:p>
        </w:tc>
      </w:tr>
      <w:tr w:rsidR="00ED2B7D" w:rsidRPr="00BF2058" w14:paraId="544B03FD" w14:textId="77777777" w:rsidTr="005E0377">
        <w:tc>
          <w:tcPr>
            <w:tcW w:w="10881" w:type="dxa"/>
            <w:gridSpan w:val="3"/>
            <w:tcBorders>
              <w:top w:val="nil"/>
              <w:left w:val="nil"/>
              <w:bottom w:val="single" w:sz="12" w:space="0" w:color="A6A6A6" w:themeColor="background1" w:themeShade="A6"/>
              <w:right w:val="nil"/>
            </w:tcBorders>
            <w:shd w:val="clear" w:color="auto" w:fill="EAEAEA"/>
            <w:vAlign w:val="center"/>
          </w:tcPr>
          <w:p w14:paraId="7A381358" w14:textId="354B25CC" w:rsidR="00ED2B7D" w:rsidRPr="00BF2058" w:rsidRDefault="00FD7FCA" w:rsidP="00436F30">
            <w:pPr>
              <w:spacing w:before="40" w:after="40"/>
              <w:jc w:val="both"/>
              <w:rPr>
                <w:rFonts w:ascii="Manrope" w:eastAsia="Arial Unicode MS" w:hAnsi="Manrope" w:cstheme="minorHAnsi"/>
                <w:sz w:val="20"/>
                <w:szCs w:val="20"/>
              </w:rPr>
            </w:pPr>
            <w:r w:rsidRPr="00BF2058">
              <w:rPr>
                <w:rFonts w:ascii="Manrope" w:hAnsi="Manrope" w:cstheme="minorHAnsi"/>
                <w:sz w:val="18"/>
                <w:szCs w:val="18"/>
              </w:rPr>
              <w:t>V tomto sdělení naleznete klíčové informace o tomto investičním produktu. Nejedná se o propagační materiál. Poskytnutí těchto informací vyžaduje zákon, aby Vám pomohlo porozumět podstatě, rizikům, nákladům, možným výnosům a ztrátám spojeným s tímto produktem a porovnat jej s jinými produkty</w:t>
            </w:r>
            <w:r w:rsidR="00ED2B7D" w:rsidRPr="00BF2058">
              <w:rPr>
                <w:rFonts w:ascii="Manrope" w:eastAsia="Arial Unicode MS" w:hAnsi="Manrope" w:cstheme="minorHAnsi"/>
                <w:sz w:val="18"/>
                <w:szCs w:val="18"/>
              </w:rPr>
              <w:t>.</w:t>
            </w:r>
          </w:p>
        </w:tc>
      </w:tr>
      <w:tr w:rsidR="00ED2B7D" w:rsidRPr="00BF2058" w14:paraId="54523648" w14:textId="77777777" w:rsidTr="00BF1EF9">
        <w:tc>
          <w:tcPr>
            <w:tcW w:w="10881" w:type="dxa"/>
            <w:gridSpan w:val="3"/>
            <w:tcBorders>
              <w:top w:val="single" w:sz="12" w:space="0" w:color="A6A6A6" w:themeColor="background1" w:themeShade="A6"/>
              <w:left w:val="nil"/>
              <w:bottom w:val="nil"/>
              <w:right w:val="nil"/>
            </w:tcBorders>
            <w:shd w:val="clear" w:color="auto" w:fill="auto"/>
            <w:vAlign w:val="center"/>
          </w:tcPr>
          <w:p w14:paraId="5CE4E5D6" w14:textId="77777777" w:rsidR="00ED2B7D" w:rsidRPr="00BF2058" w:rsidRDefault="00ED2B7D" w:rsidP="00436F30">
            <w:pPr>
              <w:spacing w:before="40" w:after="40"/>
              <w:jc w:val="both"/>
              <w:rPr>
                <w:rFonts w:ascii="Manrope" w:eastAsia="Arial Unicode MS" w:hAnsi="Manrope" w:cs="Arial Unicode MS"/>
                <w:sz w:val="20"/>
                <w:szCs w:val="20"/>
              </w:rPr>
            </w:pPr>
            <w:r w:rsidRPr="00BF2058">
              <w:rPr>
                <w:rFonts w:ascii="Manrope" w:eastAsia="Arial Unicode MS" w:hAnsi="Manrope" w:cs="Arial Unicode MS"/>
                <w:b/>
                <w:color w:val="C61E58"/>
                <w:sz w:val="20"/>
                <w:szCs w:val="20"/>
              </w:rPr>
              <w:t>Produkt</w:t>
            </w:r>
          </w:p>
        </w:tc>
      </w:tr>
      <w:tr w:rsidR="00ED2B7D" w:rsidRPr="00BF2058" w14:paraId="25E9DF5D" w14:textId="77777777" w:rsidTr="00436F30">
        <w:tc>
          <w:tcPr>
            <w:tcW w:w="10881" w:type="dxa"/>
            <w:gridSpan w:val="3"/>
            <w:tcBorders>
              <w:top w:val="nil"/>
              <w:left w:val="nil"/>
              <w:bottom w:val="nil"/>
              <w:right w:val="nil"/>
            </w:tcBorders>
            <w:shd w:val="clear" w:color="auto" w:fill="F2F2F2" w:themeFill="background1" w:themeFillShade="F2"/>
            <w:vAlign w:val="center"/>
          </w:tcPr>
          <w:p w14:paraId="70F94570" w14:textId="37FAC2B0" w:rsidR="00ED2B7D" w:rsidRPr="00BF2058" w:rsidRDefault="002275A5" w:rsidP="005E0364">
            <w:pPr>
              <w:spacing w:before="40" w:after="40"/>
              <w:jc w:val="both"/>
              <w:rPr>
                <w:rFonts w:ascii="Manrope" w:eastAsia="Arial Unicode MS" w:hAnsi="Manrope" w:cs="Arial Unicode MS"/>
                <w:sz w:val="20"/>
                <w:szCs w:val="20"/>
              </w:rPr>
            </w:pPr>
            <w:r w:rsidRPr="002275A5">
              <w:rPr>
                <w:rFonts w:ascii="Manrope" w:eastAsia="Arial Unicode MS" w:hAnsi="Manrope" w:cs="Arial Unicode MS"/>
                <w:b/>
                <w:sz w:val="20"/>
                <w:szCs w:val="20"/>
              </w:rPr>
              <w:t>IC IF - Asset Management subfund</w:t>
            </w:r>
            <w:r>
              <w:rPr>
                <w:rFonts w:ascii="Manrope" w:eastAsia="Arial Unicode MS" w:hAnsi="Manrope" w:cs="Arial Unicode MS"/>
                <w:b/>
                <w:sz w:val="20"/>
                <w:szCs w:val="20"/>
              </w:rPr>
              <w:t>,</w:t>
            </w:r>
            <w:r w:rsidRPr="002275A5">
              <w:rPr>
                <w:rFonts w:ascii="Manrope" w:eastAsia="Arial Unicode MS" w:hAnsi="Manrope" w:cs="Arial Unicode MS"/>
                <w:b/>
                <w:sz w:val="20"/>
                <w:szCs w:val="20"/>
              </w:rPr>
              <w:t xml:space="preserve"> </w:t>
            </w:r>
            <w:r w:rsidR="00261B60">
              <w:rPr>
                <w:rFonts w:ascii="Manrope" w:eastAsia="Arial Unicode MS" w:hAnsi="Manrope" w:cs="Arial Unicode MS"/>
                <w:b/>
                <w:sz w:val="20"/>
                <w:szCs w:val="20"/>
              </w:rPr>
              <w:t>výkonnostní</w:t>
            </w:r>
            <w:r w:rsidRPr="002275A5">
              <w:rPr>
                <w:rFonts w:ascii="Manrope" w:eastAsia="Arial Unicode MS" w:hAnsi="Manrope" w:cs="Arial Unicode MS"/>
                <w:b/>
                <w:sz w:val="20"/>
                <w:szCs w:val="20"/>
              </w:rPr>
              <w:t xml:space="preserve"> investiční akcie (</w:t>
            </w:r>
            <w:r w:rsidR="00261B60">
              <w:rPr>
                <w:rFonts w:ascii="Manrope" w:eastAsia="Arial Unicode MS" w:hAnsi="Manrope" w:cs="Arial Unicode MS"/>
                <w:b/>
                <w:sz w:val="20"/>
                <w:szCs w:val="20"/>
              </w:rPr>
              <w:t>V</w:t>
            </w:r>
            <w:r w:rsidRPr="002275A5">
              <w:rPr>
                <w:rFonts w:ascii="Manrope" w:eastAsia="Arial Unicode MS" w:hAnsi="Manrope" w:cs="Arial Unicode MS"/>
                <w:b/>
                <w:sz w:val="20"/>
                <w:szCs w:val="20"/>
              </w:rPr>
              <w:t>lA)</w:t>
            </w:r>
            <w:r w:rsidR="00ED2B7D" w:rsidRPr="00BF2058">
              <w:rPr>
                <w:rFonts w:ascii="Manrope" w:eastAsia="Arial Unicode MS" w:hAnsi="Manrope" w:cs="Arial Unicode MS"/>
                <w:sz w:val="20"/>
                <w:szCs w:val="20"/>
              </w:rPr>
              <w:t>, ISIN:</w:t>
            </w:r>
            <w:r w:rsidR="003A44DB">
              <w:rPr>
                <w:rFonts w:ascii="Manrope" w:eastAsia="Arial Unicode MS" w:hAnsi="Manrope" w:cs="Arial Unicode MS"/>
                <w:sz w:val="20"/>
                <w:szCs w:val="20"/>
              </w:rPr>
              <w:t xml:space="preserve"> </w:t>
            </w:r>
            <w:r w:rsidR="003A44DB" w:rsidRPr="003A44DB">
              <w:rPr>
                <w:rFonts w:ascii="Manrope" w:eastAsia="Arial Unicode MS" w:hAnsi="Manrope" w:cs="Arial Unicode MS"/>
                <w:sz w:val="20"/>
                <w:szCs w:val="20"/>
              </w:rPr>
              <w:t>CZ0008049426</w:t>
            </w:r>
            <w:r w:rsidR="00D921AB">
              <w:t xml:space="preserve"> </w:t>
            </w:r>
            <w:r w:rsidR="00ED2B7D" w:rsidRPr="00BF2058">
              <w:rPr>
                <w:rFonts w:ascii="Manrope" w:eastAsia="Arial Unicode MS" w:hAnsi="Manrope" w:cs="Arial Unicode MS"/>
                <w:sz w:val="20"/>
                <w:szCs w:val="20"/>
              </w:rPr>
              <w:t xml:space="preserve">(dále </w:t>
            </w:r>
            <w:r w:rsidR="009E72EE" w:rsidRPr="00BF2058">
              <w:rPr>
                <w:rFonts w:ascii="Manrope" w:eastAsia="Arial Unicode MS" w:hAnsi="Manrope" w:cs="Arial Unicode MS"/>
                <w:sz w:val="20"/>
                <w:szCs w:val="20"/>
              </w:rPr>
              <w:t xml:space="preserve">též </w:t>
            </w:r>
            <w:r w:rsidR="00ED2B7D" w:rsidRPr="00BF2058">
              <w:rPr>
                <w:rFonts w:ascii="Manrope" w:eastAsia="Arial Unicode MS" w:hAnsi="Manrope" w:cs="Arial Unicode MS"/>
                <w:sz w:val="20"/>
                <w:szCs w:val="20"/>
              </w:rPr>
              <w:t>jen „</w:t>
            </w:r>
            <w:r w:rsidR="00ED2B7D" w:rsidRPr="00BF2058">
              <w:rPr>
                <w:rFonts w:ascii="Manrope" w:eastAsia="Arial Unicode MS" w:hAnsi="Manrope" w:cs="Arial Unicode MS"/>
                <w:b/>
                <w:sz w:val="20"/>
                <w:szCs w:val="20"/>
              </w:rPr>
              <w:t>Fond</w:t>
            </w:r>
            <w:r w:rsidR="00ED2B7D" w:rsidRPr="00BF2058">
              <w:rPr>
                <w:rFonts w:ascii="Manrope" w:eastAsia="Arial Unicode MS" w:hAnsi="Manrope" w:cs="Arial Unicode MS"/>
                <w:sz w:val="20"/>
                <w:szCs w:val="20"/>
              </w:rPr>
              <w:t>“)</w:t>
            </w:r>
          </w:p>
        </w:tc>
      </w:tr>
      <w:tr w:rsidR="00ED2B7D" w:rsidRPr="00BF2058" w14:paraId="377E26E9" w14:textId="77777777" w:rsidTr="00436F30">
        <w:tc>
          <w:tcPr>
            <w:tcW w:w="10881" w:type="dxa"/>
            <w:gridSpan w:val="3"/>
            <w:tcBorders>
              <w:top w:val="nil"/>
              <w:left w:val="nil"/>
              <w:bottom w:val="nil"/>
              <w:right w:val="nil"/>
            </w:tcBorders>
            <w:shd w:val="clear" w:color="auto" w:fill="F2F2F2" w:themeFill="background1" w:themeFillShade="F2"/>
            <w:vAlign w:val="center"/>
          </w:tcPr>
          <w:p w14:paraId="182AA810" w14:textId="67A98518"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Tvůrce produktu:</w:t>
            </w:r>
            <w:r w:rsidR="004C679B" w:rsidRPr="00BF2058">
              <w:rPr>
                <w:rFonts w:ascii="Manrope" w:eastAsia="Arial Unicode MS" w:hAnsi="Manrope" w:cs="Arial Unicode MS"/>
                <w:b/>
                <w:szCs w:val="20"/>
              </w:rPr>
              <w:t xml:space="preserve"> </w:t>
            </w:r>
          </w:p>
        </w:tc>
      </w:tr>
      <w:tr w:rsidR="00ED2B7D" w:rsidRPr="00BF2058" w14:paraId="1D4757C7" w14:textId="77777777" w:rsidTr="00436F30">
        <w:tc>
          <w:tcPr>
            <w:tcW w:w="10881" w:type="dxa"/>
            <w:gridSpan w:val="3"/>
            <w:tcBorders>
              <w:top w:val="nil"/>
              <w:left w:val="nil"/>
              <w:bottom w:val="nil"/>
              <w:right w:val="nil"/>
            </w:tcBorders>
            <w:shd w:val="clear" w:color="auto" w:fill="F2F2F2" w:themeFill="background1" w:themeFillShade="F2"/>
            <w:vAlign w:val="center"/>
          </w:tcPr>
          <w:p w14:paraId="7DA77BDA" w14:textId="37DF1503" w:rsidR="00ED2B7D" w:rsidRPr="00BF2058" w:rsidRDefault="007F1CD4" w:rsidP="000B6EB6">
            <w:pPr>
              <w:pStyle w:val="Zkladntext"/>
              <w:spacing w:before="40" w:after="40"/>
              <w:jc w:val="both"/>
              <w:rPr>
                <w:rFonts w:ascii="Manrope" w:eastAsia="Arial Unicode MS" w:hAnsi="Manrope" w:cs="Arial Unicode MS"/>
                <w:szCs w:val="20"/>
              </w:rPr>
            </w:pPr>
            <w:r w:rsidRPr="0020095D">
              <w:rPr>
                <w:rFonts w:ascii="Manrope" w:eastAsia="Arial Unicode MS" w:hAnsi="Manrope" w:cs="Arial Unicode MS"/>
                <w:b/>
                <w:szCs w:val="20"/>
              </w:rPr>
              <w:t xml:space="preserve">CARDUUS Asset Management, investiční společnost, a.s., </w:t>
            </w:r>
            <w:r w:rsidRPr="00BF2058">
              <w:rPr>
                <w:rFonts w:ascii="Manrope" w:eastAsia="Arial Unicode MS" w:hAnsi="Manrope" w:cs="Arial Unicode MS"/>
                <w:szCs w:val="20"/>
              </w:rPr>
              <w:t>(dále jen „</w:t>
            </w:r>
            <w:r w:rsidRPr="00BF2058">
              <w:rPr>
                <w:rFonts w:ascii="Manrope" w:eastAsia="Arial Unicode MS" w:hAnsi="Manrope" w:cs="Arial Unicode MS"/>
                <w:b/>
                <w:szCs w:val="20"/>
              </w:rPr>
              <w:t>Společnost</w:t>
            </w:r>
            <w:r w:rsidRPr="00BF2058">
              <w:rPr>
                <w:rFonts w:ascii="Manrope" w:eastAsia="Arial Unicode MS" w:hAnsi="Manrope" w:cs="Arial Unicode MS"/>
                <w:szCs w:val="20"/>
              </w:rPr>
              <w:t>“)</w:t>
            </w:r>
          </w:p>
        </w:tc>
      </w:tr>
      <w:tr w:rsidR="00ED2B7D" w:rsidRPr="00BF2058" w14:paraId="5D115AC9" w14:textId="77777777" w:rsidTr="00436F30">
        <w:tc>
          <w:tcPr>
            <w:tcW w:w="10881" w:type="dxa"/>
            <w:gridSpan w:val="3"/>
            <w:tcBorders>
              <w:top w:val="nil"/>
              <w:left w:val="nil"/>
              <w:bottom w:val="nil"/>
              <w:right w:val="nil"/>
            </w:tcBorders>
            <w:shd w:val="clear" w:color="auto" w:fill="F2F2F2" w:themeFill="background1" w:themeFillShade="F2"/>
            <w:vAlign w:val="center"/>
          </w:tcPr>
          <w:p w14:paraId="54FF3141" w14:textId="3A943570"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Společnost lze kontaktovat:</w:t>
            </w:r>
          </w:p>
        </w:tc>
      </w:tr>
      <w:tr w:rsidR="00ED2B7D" w:rsidRPr="00BF2058" w14:paraId="6C6576CC" w14:textId="77777777" w:rsidTr="007F1CD4">
        <w:tc>
          <w:tcPr>
            <w:tcW w:w="4481" w:type="dxa"/>
            <w:tcBorders>
              <w:top w:val="nil"/>
              <w:left w:val="nil"/>
              <w:bottom w:val="nil"/>
              <w:right w:val="nil"/>
            </w:tcBorders>
            <w:shd w:val="clear" w:color="auto" w:fill="F2F2F2" w:themeFill="background1" w:themeFillShade="F2"/>
            <w:vAlign w:val="center"/>
          </w:tcPr>
          <w:p w14:paraId="7DD4B87E" w14:textId="42D83A4B" w:rsidR="00C66471" w:rsidRPr="00BF2058" w:rsidRDefault="007F1CD4" w:rsidP="00C66471">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Web:</w:t>
            </w:r>
            <w:r>
              <w:rPr>
                <w:rFonts w:ascii="Manrope" w:eastAsia="Arial Unicode MS" w:hAnsi="Manrope" w:cs="Arial Unicode MS"/>
                <w:szCs w:val="20"/>
              </w:rPr>
              <w:t xml:space="preserve"> www.carduus.cz</w:t>
            </w:r>
          </w:p>
        </w:tc>
        <w:tc>
          <w:tcPr>
            <w:tcW w:w="3032" w:type="dxa"/>
            <w:tcBorders>
              <w:top w:val="nil"/>
              <w:left w:val="nil"/>
              <w:bottom w:val="nil"/>
              <w:right w:val="nil"/>
            </w:tcBorders>
            <w:shd w:val="clear" w:color="auto" w:fill="F2F2F2" w:themeFill="background1" w:themeFillShade="F2"/>
            <w:vAlign w:val="center"/>
          </w:tcPr>
          <w:p w14:paraId="64B6B40E" w14:textId="5ED99B02" w:rsidR="00ED2B7D" w:rsidRPr="00BF2058" w:rsidRDefault="00ED2B7D" w:rsidP="00303638">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E-mailem</w:t>
            </w:r>
            <w:r w:rsidRPr="007F1CD4">
              <w:rPr>
                <w:rFonts w:ascii="Manrope" w:eastAsia="Arial Unicode MS" w:hAnsi="Manrope" w:cs="Arial Unicode MS"/>
                <w:szCs w:val="20"/>
              </w:rPr>
              <w:t>:</w:t>
            </w:r>
            <w:r w:rsidR="007F1CD4">
              <w:rPr>
                <w:rFonts w:ascii="Manrope" w:eastAsia="Arial Unicode MS" w:hAnsi="Manrope" w:cs="Arial Unicode MS"/>
                <w:szCs w:val="20"/>
              </w:rPr>
              <w:t xml:space="preserve"> </w:t>
            </w:r>
            <w:hyperlink r:id="rId8" w:history="1">
              <w:r w:rsidR="007F1CD4" w:rsidRPr="00E15F42">
                <w:rPr>
                  <w:rStyle w:val="Hypertextovodkaz"/>
                  <w:rFonts w:ascii="Manrope" w:hAnsi="Manrope"/>
                </w:rPr>
                <w:t>office</w:t>
              </w:r>
              <w:r w:rsidR="007F1CD4" w:rsidRPr="00E15F42">
                <w:rPr>
                  <w:rStyle w:val="Hypertextovodkaz"/>
                  <w:rFonts w:ascii="Manrope" w:eastAsia="Arial Unicode MS" w:hAnsi="Manrope" w:cs="Arial Unicode MS"/>
                  <w:szCs w:val="20"/>
                </w:rPr>
                <w:t>@carduus.cz</w:t>
              </w:r>
            </w:hyperlink>
            <w:r w:rsidR="00303638" w:rsidRPr="00BF2058">
              <w:rPr>
                <w:rFonts w:ascii="Manrope" w:eastAsia="Arial Unicode MS" w:hAnsi="Manrope" w:cs="Arial Unicode MS"/>
                <w:szCs w:val="20"/>
              </w:rPr>
              <w:t xml:space="preserve"> </w:t>
            </w:r>
          </w:p>
        </w:tc>
        <w:tc>
          <w:tcPr>
            <w:tcW w:w="3368" w:type="dxa"/>
            <w:tcBorders>
              <w:top w:val="nil"/>
              <w:left w:val="nil"/>
              <w:bottom w:val="nil"/>
              <w:right w:val="nil"/>
            </w:tcBorders>
            <w:shd w:val="clear" w:color="auto" w:fill="F2F2F2" w:themeFill="background1" w:themeFillShade="F2"/>
            <w:vAlign w:val="center"/>
          </w:tcPr>
          <w:p w14:paraId="502667B5" w14:textId="27253FA0" w:rsidR="00ED2B7D" w:rsidRPr="00BF2058" w:rsidRDefault="00ED2B7D" w:rsidP="00303638">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 xml:space="preserve">Telefonicky: </w:t>
            </w:r>
            <w:r w:rsidR="00303638" w:rsidRPr="00BF2058">
              <w:rPr>
                <w:rFonts w:ascii="Manrope" w:eastAsia="Arial Unicode MS" w:hAnsi="Manrope" w:cs="Arial Unicode MS"/>
                <w:szCs w:val="20"/>
                <w:lang w:val="x-none"/>
              </w:rPr>
              <w:t>+420 </w:t>
            </w:r>
            <w:r w:rsidR="00303638" w:rsidRPr="00BF2058">
              <w:rPr>
                <w:rFonts w:ascii="Manrope" w:eastAsia="Arial Unicode MS" w:hAnsi="Manrope" w:cs="Arial Unicode MS"/>
                <w:szCs w:val="20"/>
              </w:rPr>
              <w:t>22</w:t>
            </w:r>
            <w:r w:rsidR="007F1CD4">
              <w:rPr>
                <w:rFonts w:ascii="Manrope" w:eastAsia="Arial Unicode MS" w:hAnsi="Manrope" w:cs="Arial Unicode MS"/>
                <w:szCs w:val="20"/>
              </w:rPr>
              <w:t>2</w:t>
            </w:r>
            <w:r w:rsidR="00303638" w:rsidRPr="00BF2058">
              <w:rPr>
                <w:rFonts w:ascii="Manrope" w:eastAsia="Arial Unicode MS" w:hAnsi="Manrope" w:cs="Arial Unicode MS"/>
                <w:szCs w:val="20"/>
              </w:rPr>
              <w:t> </w:t>
            </w:r>
            <w:r w:rsidR="007F1CD4">
              <w:rPr>
                <w:rFonts w:ascii="Manrope" w:eastAsia="Arial Unicode MS" w:hAnsi="Manrope" w:cs="Arial Unicode MS"/>
                <w:szCs w:val="20"/>
              </w:rPr>
              <w:t>745</w:t>
            </w:r>
            <w:r w:rsidR="00CC07A5" w:rsidRPr="00BF2058">
              <w:rPr>
                <w:rFonts w:ascii="Manrope" w:eastAsia="Arial Unicode MS" w:hAnsi="Manrope" w:cs="Arial Unicode MS"/>
                <w:szCs w:val="20"/>
              </w:rPr>
              <w:t xml:space="preserve"> </w:t>
            </w:r>
            <w:r w:rsidR="007F1CD4">
              <w:rPr>
                <w:rFonts w:ascii="Manrope" w:eastAsia="Arial Unicode MS" w:hAnsi="Manrope" w:cs="Arial Unicode MS"/>
                <w:szCs w:val="20"/>
              </w:rPr>
              <w:t>745</w:t>
            </w:r>
            <w:r w:rsidR="00303638" w:rsidRPr="00BF2058">
              <w:rPr>
                <w:rFonts w:ascii="Manrope" w:eastAsia="Arial Unicode MS" w:hAnsi="Manrope" w:cs="Arial Unicode MS"/>
                <w:szCs w:val="20"/>
              </w:rPr>
              <w:t xml:space="preserve"> </w:t>
            </w:r>
          </w:p>
        </w:tc>
      </w:tr>
      <w:tr w:rsidR="00ED2B7D" w:rsidRPr="00BF2058" w14:paraId="7EF343B8" w14:textId="77777777" w:rsidTr="00436F30">
        <w:tc>
          <w:tcPr>
            <w:tcW w:w="10881" w:type="dxa"/>
            <w:gridSpan w:val="3"/>
            <w:tcBorders>
              <w:top w:val="nil"/>
              <w:left w:val="nil"/>
              <w:bottom w:val="nil"/>
              <w:right w:val="nil"/>
            </w:tcBorders>
            <w:shd w:val="clear" w:color="auto" w:fill="F2F2F2" w:themeFill="background1" w:themeFillShade="F2"/>
            <w:vAlign w:val="center"/>
          </w:tcPr>
          <w:p w14:paraId="0B8B6D78"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Orgán dohledu:</w:t>
            </w:r>
          </w:p>
        </w:tc>
      </w:tr>
      <w:tr w:rsidR="00ED2B7D" w:rsidRPr="00BF2058" w14:paraId="42876F59" w14:textId="77777777" w:rsidTr="00436F30">
        <w:tc>
          <w:tcPr>
            <w:tcW w:w="10881" w:type="dxa"/>
            <w:gridSpan w:val="3"/>
            <w:tcBorders>
              <w:top w:val="nil"/>
              <w:left w:val="nil"/>
              <w:bottom w:val="nil"/>
              <w:right w:val="nil"/>
            </w:tcBorders>
            <w:shd w:val="clear" w:color="auto" w:fill="F2F2F2" w:themeFill="background1" w:themeFillShade="F2"/>
            <w:vAlign w:val="center"/>
          </w:tcPr>
          <w:p w14:paraId="5579F3B6" w14:textId="77777777" w:rsidR="00ED2B7D" w:rsidRPr="00BF2058" w:rsidRDefault="00ED2B7D" w:rsidP="00436F30">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Česká národní banka, se sídlem Praha 1, Na Příkopě 28, PSČ 115 03, www.cnb.cz</w:t>
            </w:r>
          </w:p>
        </w:tc>
      </w:tr>
      <w:tr w:rsidR="00ED2B7D" w:rsidRPr="00BF2058" w14:paraId="61C097FD" w14:textId="77777777" w:rsidTr="00436F30">
        <w:tc>
          <w:tcPr>
            <w:tcW w:w="10881" w:type="dxa"/>
            <w:gridSpan w:val="3"/>
            <w:tcBorders>
              <w:top w:val="nil"/>
              <w:left w:val="nil"/>
              <w:bottom w:val="nil"/>
              <w:right w:val="nil"/>
            </w:tcBorders>
            <w:shd w:val="clear" w:color="auto" w:fill="F2F2F2" w:themeFill="background1" w:themeFillShade="F2"/>
            <w:vAlign w:val="center"/>
          </w:tcPr>
          <w:p w14:paraId="60C78831" w14:textId="332934B0" w:rsidR="00ED2B7D" w:rsidRPr="00BF2058" w:rsidRDefault="00ED2B7D" w:rsidP="00B527E2">
            <w:pPr>
              <w:pStyle w:val="Zkladntext"/>
              <w:spacing w:before="40" w:after="40"/>
              <w:jc w:val="both"/>
              <w:rPr>
                <w:rFonts w:ascii="Manrope" w:eastAsia="Arial Unicode MS" w:hAnsi="Manrope" w:cs="Arial Unicode MS"/>
                <w:color w:val="FF0000"/>
                <w:szCs w:val="20"/>
              </w:rPr>
            </w:pPr>
            <w:r w:rsidRPr="00BF2058">
              <w:rPr>
                <w:rFonts w:ascii="Manrope" w:eastAsia="Arial Unicode MS" w:hAnsi="Manrope" w:cs="Arial Unicode MS"/>
                <w:szCs w:val="20"/>
              </w:rPr>
              <w:t xml:space="preserve">Datum vypracování tohoto dokumentu: </w:t>
            </w:r>
            <w:sdt>
              <w:sdtPr>
                <w:rPr>
                  <w:rFonts w:ascii="Manrope" w:eastAsia="Arial Unicode MS" w:hAnsi="Manrope" w:cs="Arial Unicode MS"/>
                  <w:szCs w:val="20"/>
                </w:rPr>
                <w:id w:val="-92406562"/>
                <w:placeholder>
                  <w:docPart w:val="DefaultPlaceholder_1082065160"/>
                </w:placeholder>
                <w:date w:fullDate="2022-10-01T00:00:00Z">
                  <w:dateFormat w:val="dd.MM.yyyy"/>
                  <w:lid w:val="cs-CZ"/>
                  <w:storeMappedDataAs w:val="dateTime"/>
                  <w:calendar w:val="gregorian"/>
                </w:date>
              </w:sdtPr>
              <w:sdtEndPr/>
              <w:sdtContent>
                <w:r w:rsidR="002275A5">
                  <w:rPr>
                    <w:rFonts w:ascii="Manrope" w:eastAsia="Arial Unicode MS" w:hAnsi="Manrope" w:cs="Arial Unicode MS"/>
                    <w:szCs w:val="20"/>
                  </w:rPr>
                  <w:t>01.10.2022</w:t>
                </w:r>
              </w:sdtContent>
            </w:sdt>
          </w:p>
        </w:tc>
      </w:tr>
      <w:tr w:rsidR="00ED2B7D" w:rsidRPr="00BF2058" w14:paraId="22CA290C" w14:textId="77777777" w:rsidTr="00BF1EF9">
        <w:tc>
          <w:tcPr>
            <w:tcW w:w="10881" w:type="dxa"/>
            <w:gridSpan w:val="3"/>
            <w:tcBorders>
              <w:top w:val="nil"/>
              <w:left w:val="nil"/>
              <w:bottom w:val="single" w:sz="12" w:space="0" w:color="A6A6A6" w:themeColor="background1" w:themeShade="A6"/>
              <w:right w:val="nil"/>
            </w:tcBorders>
            <w:shd w:val="clear" w:color="auto" w:fill="F2F2F2" w:themeFill="background1" w:themeFillShade="F2"/>
            <w:vAlign w:val="center"/>
          </w:tcPr>
          <w:p w14:paraId="3493BD19"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Produkt, o jehož koupi uvažujete, je složitý a může být obtížně srozumitelný.</w:t>
            </w:r>
          </w:p>
        </w:tc>
      </w:tr>
      <w:tr w:rsidR="00ED2B7D" w:rsidRPr="00BF2058" w14:paraId="41103779" w14:textId="77777777" w:rsidTr="00BF1EF9">
        <w:tc>
          <w:tcPr>
            <w:tcW w:w="10881" w:type="dxa"/>
            <w:gridSpan w:val="3"/>
            <w:tcBorders>
              <w:top w:val="single" w:sz="12" w:space="0" w:color="A6A6A6" w:themeColor="background1" w:themeShade="A6"/>
              <w:left w:val="nil"/>
              <w:bottom w:val="nil"/>
              <w:right w:val="nil"/>
            </w:tcBorders>
            <w:shd w:val="clear" w:color="auto" w:fill="auto"/>
            <w:vAlign w:val="center"/>
          </w:tcPr>
          <w:p w14:paraId="40957758" w14:textId="77777777" w:rsidR="00ED2B7D" w:rsidRPr="00BF2058" w:rsidRDefault="00ED2B7D" w:rsidP="00436F30">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O jaký produkt se jedná?</w:t>
            </w:r>
          </w:p>
        </w:tc>
      </w:tr>
      <w:tr w:rsidR="00ED2B7D" w:rsidRPr="00BF2058" w14:paraId="22E2C5DD" w14:textId="77777777" w:rsidTr="005E0377">
        <w:tc>
          <w:tcPr>
            <w:tcW w:w="10881" w:type="dxa"/>
            <w:gridSpan w:val="3"/>
            <w:tcBorders>
              <w:top w:val="nil"/>
              <w:left w:val="nil"/>
              <w:bottom w:val="nil"/>
              <w:right w:val="nil"/>
            </w:tcBorders>
            <w:shd w:val="clear" w:color="auto" w:fill="EAEAEA"/>
            <w:vAlign w:val="center"/>
          </w:tcPr>
          <w:p w14:paraId="262CE1E5"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Typ</w:t>
            </w:r>
          </w:p>
        </w:tc>
      </w:tr>
      <w:tr w:rsidR="00ED2B7D" w:rsidRPr="00BF2058" w14:paraId="17D60504" w14:textId="77777777" w:rsidTr="005E0377">
        <w:tc>
          <w:tcPr>
            <w:tcW w:w="10881" w:type="dxa"/>
            <w:gridSpan w:val="3"/>
            <w:tcBorders>
              <w:top w:val="nil"/>
              <w:left w:val="nil"/>
              <w:bottom w:val="nil"/>
              <w:right w:val="nil"/>
            </w:tcBorders>
            <w:shd w:val="clear" w:color="auto" w:fill="EAEAEA"/>
            <w:vAlign w:val="center"/>
          </w:tcPr>
          <w:p w14:paraId="70CD878C" w14:textId="72EEE38E" w:rsidR="00ED2B7D" w:rsidRPr="00BF2058" w:rsidRDefault="009E72EE" w:rsidP="00E717BD">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P</w:t>
            </w:r>
            <w:r w:rsidR="00ED2B7D" w:rsidRPr="005A73F0">
              <w:rPr>
                <w:rFonts w:ascii="Manrope" w:eastAsia="Arial Unicode MS" w:hAnsi="Manrope" w:cs="Arial Unicode MS"/>
                <w:sz w:val="18"/>
                <w:szCs w:val="18"/>
              </w:rPr>
              <w:t xml:space="preserve">rodukt je </w:t>
            </w:r>
            <w:sdt>
              <w:sdtPr>
                <w:rPr>
                  <w:rFonts w:ascii="Manrope" w:eastAsia="Arial Unicode MS" w:hAnsi="Manrope" w:cs="Arial Unicode MS"/>
                  <w:sz w:val="18"/>
                  <w:szCs w:val="18"/>
                </w:rPr>
                <w:id w:val="-1247644339"/>
                <w:placeholder>
                  <w:docPart w:val="DefaultPlaceholder_1082065159"/>
                </w:placeholder>
                <w:dropDownList>
                  <w:listItem w:value="Zvolte položku."/>
                  <w:listItem w:displayText="fondem" w:value="fondem"/>
                  <w:listItem w:displayText="podfondem" w:value="podfondem"/>
                </w:dropDownList>
              </w:sdtPr>
              <w:sdtEndPr/>
              <w:sdtContent>
                <w:r w:rsidR="00722FBF" w:rsidRPr="005A73F0">
                  <w:rPr>
                    <w:rFonts w:ascii="Manrope" w:eastAsia="Arial Unicode MS" w:hAnsi="Manrope" w:cs="Arial Unicode MS"/>
                    <w:sz w:val="18"/>
                    <w:szCs w:val="18"/>
                  </w:rPr>
                  <w:t>fondem</w:t>
                </w:r>
              </w:sdtContent>
            </w:sdt>
            <w:r w:rsidR="00B527E2" w:rsidRPr="005A73F0">
              <w:rPr>
                <w:rFonts w:ascii="Manrope" w:eastAsia="Arial Unicode MS" w:hAnsi="Manrope" w:cs="Arial Unicode MS"/>
                <w:color w:val="FF0000"/>
                <w:sz w:val="18"/>
                <w:szCs w:val="18"/>
              </w:rPr>
              <w:t xml:space="preserve"> </w:t>
            </w:r>
            <w:r w:rsidR="00C45C1C" w:rsidRPr="005A73F0">
              <w:rPr>
                <w:rFonts w:ascii="Manrope" w:eastAsia="Arial Unicode MS" w:hAnsi="Manrope" w:cs="Arial Unicode MS"/>
                <w:sz w:val="18"/>
                <w:szCs w:val="18"/>
              </w:rPr>
              <w:t>Společnosti</w:t>
            </w:r>
            <w:r w:rsidR="00ED2B7D" w:rsidRPr="005A73F0">
              <w:rPr>
                <w:rFonts w:ascii="Manrope" w:eastAsia="Arial Unicode MS" w:hAnsi="Manrope" w:cs="Arial Unicode MS"/>
                <w:sz w:val="18"/>
                <w:szCs w:val="18"/>
              </w:rPr>
              <w:t>,</w:t>
            </w:r>
            <w:r w:rsidR="00ED2B7D" w:rsidRPr="005A73F0">
              <w:rPr>
                <w:rFonts w:ascii="Manrope" w:eastAsia="Arial Unicode MS" w:hAnsi="Manrope" w:cs="Arial Unicode MS"/>
                <w:color w:val="FF0000"/>
                <w:sz w:val="18"/>
                <w:szCs w:val="18"/>
              </w:rPr>
              <w:t xml:space="preserve"> </w:t>
            </w:r>
            <w:r w:rsidR="003760A2" w:rsidRPr="005A73F0">
              <w:rPr>
                <w:rFonts w:ascii="Manrope" w:eastAsia="Arial Unicode MS" w:hAnsi="Manrope" w:cs="Arial Unicode MS"/>
                <w:sz w:val="18"/>
                <w:szCs w:val="18"/>
              </w:rPr>
              <w:t>tj.</w:t>
            </w:r>
            <w:r w:rsidR="003760A2" w:rsidRPr="005A73F0">
              <w:rPr>
                <w:rFonts w:ascii="Manrope" w:eastAsia="Arial Unicode MS" w:hAnsi="Manrope" w:cs="Arial Unicode MS"/>
                <w:color w:val="FF0000"/>
                <w:sz w:val="18"/>
                <w:szCs w:val="18"/>
              </w:rPr>
              <w:t xml:space="preserve"> </w:t>
            </w:r>
            <w:sdt>
              <w:sdtPr>
                <w:rPr>
                  <w:rFonts w:ascii="Manrope" w:eastAsia="Arial Unicode MS" w:hAnsi="Manrope" w:cs="Arial Unicode MS"/>
                  <w:sz w:val="18"/>
                  <w:szCs w:val="18"/>
                </w:rPr>
                <w:id w:val="-1526321844"/>
                <w:placeholder>
                  <w:docPart w:val="DefaultPlaceholder_1082065159"/>
                </w:placeholder>
                <w:dropDownList>
                  <w:listItem w:value="Zvolte položku."/>
                  <w:listItem w:displayText="podfondem fondu kvalifikovaných investorů ve formě SICAV" w:value="podfondem fondu kvalifikovaných investorů ve formě SICAV"/>
                  <w:listItem w:displayText="fondem kvalifikovaných investorů ve formě SICAV" w:value="fondem kvalifikovaných investorů ve formě SICAV"/>
                  <w:listItem w:displayText="podfondem fondu kvalifikovaných investorů ve formě akciové společnosti s proměnným základním kapitálem" w:value="podfondem fondu kvalifikovaných investorů ve formě akciové společnosti s proměnným základním kapitálem"/>
                  <w:listItem w:displayText="fondem kvalifikovaných investorů ve formě akciové společnosti s proměnným základním kapitálem" w:value="fondem kvalifikovaných investorů ve formě akciové společnosti s proměnným základním kapitálem"/>
                  <w:listItem w:displayText="fondem kvalifikovaných investorů ve formě sro" w:value="fondem kvalifikovaných investorů ve formě sro"/>
                </w:dropDownList>
              </w:sdtPr>
              <w:sdtEndPr/>
              <w:sdtContent>
                <w:r w:rsidR="002275A5">
                  <w:rPr>
                    <w:rFonts w:ascii="Manrope" w:eastAsia="Arial Unicode MS" w:hAnsi="Manrope" w:cs="Arial Unicode MS"/>
                    <w:sz w:val="18"/>
                    <w:szCs w:val="18"/>
                  </w:rPr>
                  <w:t>podfondem fondu kvalifikovaných investorů ve formě SICAV</w:t>
                </w:r>
              </w:sdtContent>
            </w:sdt>
            <w:r w:rsidR="00ED2B7D" w:rsidRPr="005A73F0">
              <w:rPr>
                <w:rFonts w:ascii="Manrope" w:eastAsia="Arial Unicode MS" w:hAnsi="Manrope" w:cs="Arial Unicode MS"/>
                <w:sz w:val="18"/>
                <w:szCs w:val="18"/>
              </w:rPr>
              <w:t>.</w:t>
            </w:r>
          </w:p>
        </w:tc>
      </w:tr>
      <w:tr w:rsidR="00ED2B7D" w:rsidRPr="00BF2058" w14:paraId="5D7234D6" w14:textId="77777777" w:rsidTr="005E0377">
        <w:tc>
          <w:tcPr>
            <w:tcW w:w="10881" w:type="dxa"/>
            <w:gridSpan w:val="3"/>
            <w:tcBorders>
              <w:top w:val="nil"/>
              <w:left w:val="nil"/>
              <w:bottom w:val="nil"/>
              <w:right w:val="nil"/>
            </w:tcBorders>
            <w:shd w:val="clear" w:color="auto" w:fill="EAEAEA"/>
            <w:vAlign w:val="center"/>
          </w:tcPr>
          <w:p w14:paraId="088B2760"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Cíle</w:t>
            </w:r>
          </w:p>
        </w:tc>
      </w:tr>
      <w:tr w:rsidR="00ED2B7D" w:rsidRPr="00BF2058" w14:paraId="5ADC807F" w14:textId="77777777" w:rsidTr="005E0377">
        <w:tc>
          <w:tcPr>
            <w:tcW w:w="10881" w:type="dxa"/>
            <w:gridSpan w:val="3"/>
            <w:tcBorders>
              <w:top w:val="nil"/>
              <w:left w:val="nil"/>
              <w:bottom w:val="nil"/>
              <w:right w:val="nil"/>
            </w:tcBorders>
            <w:shd w:val="clear" w:color="auto" w:fill="EAEAEA"/>
            <w:vAlign w:val="center"/>
          </w:tcPr>
          <w:p w14:paraId="7F215470" w14:textId="77777777" w:rsidR="002275A5" w:rsidRPr="002275A5" w:rsidRDefault="002275A5" w:rsidP="002275A5">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Investičním cílem Fondu je setrvalé zhodnocování prostředků vložených akcionáři vlastnícími investiční akcie vydané k Podfondu  na základě přímých či nepřímých investic do nemovitostí, bytových jednotek a nebytových prostor včetně výstavby nových nemovitostí, bytových  jednotek a nebytových prostor, majetkových účastí v nemovitostních společnostech a jiných společnostech, případně cenných papírů, pohledávek, zápůjček a úvěrů  či jiných doplňkových aktiv s předpokládaným nadstandardním výnosem a rizikem v rámci Evropské unie. Převážná část zisků plynoucích z portfolia Podfondu bude v souladu s investiční strategií dále reinvestována.</w:t>
            </w:r>
          </w:p>
          <w:p w14:paraId="3CB145D9" w14:textId="77777777" w:rsidR="002275A5" w:rsidRPr="002275A5" w:rsidRDefault="002275A5" w:rsidP="002275A5">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Podfond bude rovněž odkupovat a prodávat zajištěné pohledávky skrze společnosti, ve kterých má majetkovou účast. Součástí strategie je tedy i diversifikace rizik na základě investic do různých nepropojených majetkových hodnot.</w:t>
            </w:r>
          </w:p>
          <w:p w14:paraId="23003ACD" w14:textId="77D164BA" w:rsidR="00ED2B7D" w:rsidRPr="005A73F0" w:rsidRDefault="002275A5" w:rsidP="002275A5">
            <w:pPr>
              <w:pStyle w:val="Zkladntext"/>
              <w:spacing w:before="40" w:after="40"/>
              <w:jc w:val="both"/>
              <w:rPr>
                <w:rFonts w:ascii="Manrope" w:eastAsia="Arial Unicode MS" w:hAnsi="Manrope" w:cs="Arial Unicode MS"/>
                <w:color w:val="FF0000"/>
                <w:sz w:val="18"/>
                <w:szCs w:val="18"/>
              </w:rPr>
            </w:pPr>
            <w:r w:rsidRPr="002275A5">
              <w:rPr>
                <w:rFonts w:ascii="Manrope" w:eastAsia="Arial Unicode MS" w:hAnsi="Manrope" w:cs="Arial Unicode MS"/>
                <w:sz w:val="18"/>
                <w:szCs w:val="18"/>
              </w:rPr>
              <w:t>Podfond nezamýšlí sledovat jakýkoli index či benchmark. Návratnost investice do Fondu není zaručena.</w:t>
            </w:r>
          </w:p>
        </w:tc>
      </w:tr>
      <w:tr w:rsidR="00ED2B7D" w:rsidRPr="00BF2058" w14:paraId="5450240F" w14:textId="77777777" w:rsidTr="005E0377">
        <w:tc>
          <w:tcPr>
            <w:tcW w:w="10881" w:type="dxa"/>
            <w:gridSpan w:val="3"/>
            <w:tcBorders>
              <w:top w:val="nil"/>
              <w:left w:val="nil"/>
              <w:bottom w:val="nil"/>
              <w:right w:val="nil"/>
            </w:tcBorders>
            <w:shd w:val="clear" w:color="auto" w:fill="EAEAEA"/>
            <w:vAlign w:val="center"/>
          </w:tcPr>
          <w:p w14:paraId="583A6C0D"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Pro koho je produkt určen</w:t>
            </w:r>
          </w:p>
        </w:tc>
      </w:tr>
      <w:tr w:rsidR="00ED2B7D" w:rsidRPr="00BF2058" w14:paraId="695F63CF" w14:textId="77777777" w:rsidTr="005E0377">
        <w:tc>
          <w:tcPr>
            <w:tcW w:w="10881" w:type="dxa"/>
            <w:gridSpan w:val="3"/>
            <w:tcBorders>
              <w:top w:val="nil"/>
              <w:left w:val="nil"/>
              <w:bottom w:val="nil"/>
              <w:right w:val="nil"/>
            </w:tcBorders>
            <w:shd w:val="clear" w:color="auto" w:fill="EAEAEA"/>
            <w:vAlign w:val="center"/>
          </w:tcPr>
          <w:p w14:paraId="21843E86" w14:textId="4B093F5A" w:rsidR="00ED2B7D" w:rsidRPr="005A73F0" w:rsidRDefault="002275A5" w:rsidP="00E717BD">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Fond je možné nabízet, resp. účastnické cenné papíry Fondu je oprávněn nabýt pouze kvalifikovaný investor. Fond je určen pro investory, kteří jsou připraveni podstoupit vyšší míru rizika tak, aby dosáhli ve střednědobém a dlouhodobém horizontu vyššího zhodnocení investovaných prostředků.</w:t>
            </w:r>
          </w:p>
        </w:tc>
      </w:tr>
      <w:tr w:rsidR="00ED2B7D" w:rsidRPr="00BF2058" w14:paraId="03B1FCB0" w14:textId="77777777" w:rsidTr="005E0377">
        <w:tc>
          <w:tcPr>
            <w:tcW w:w="10881" w:type="dxa"/>
            <w:gridSpan w:val="3"/>
            <w:tcBorders>
              <w:top w:val="nil"/>
              <w:left w:val="nil"/>
              <w:bottom w:val="nil"/>
              <w:right w:val="nil"/>
            </w:tcBorders>
            <w:shd w:val="clear" w:color="auto" w:fill="EAEAEA"/>
            <w:vAlign w:val="center"/>
          </w:tcPr>
          <w:p w14:paraId="0B84E0D5" w14:textId="69014267" w:rsidR="00ED2B7D" w:rsidRPr="00BF2058" w:rsidRDefault="00ED2B7D" w:rsidP="008E01ED">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Doba trvání Fondu</w:t>
            </w:r>
          </w:p>
        </w:tc>
      </w:tr>
      <w:tr w:rsidR="00ED2B7D" w:rsidRPr="00BF2058" w14:paraId="142856FF" w14:textId="77777777" w:rsidTr="005E0377">
        <w:tc>
          <w:tcPr>
            <w:tcW w:w="10881" w:type="dxa"/>
            <w:gridSpan w:val="3"/>
            <w:tcBorders>
              <w:top w:val="nil"/>
              <w:left w:val="nil"/>
              <w:bottom w:val="nil"/>
              <w:right w:val="nil"/>
            </w:tcBorders>
            <w:shd w:val="clear" w:color="auto" w:fill="EAEAEA"/>
            <w:vAlign w:val="center"/>
          </w:tcPr>
          <w:p w14:paraId="5E378CFB" w14:textId="048FD5DD" w:rsidR="00ED2B7D" w:rsidRPr="005A73F0" w:rsidRDefault="00ED2B7D" w:rsidP="008F02F3">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Fond byl vytvořen</w:t>
            </w:r>
            <w:r w:rsidR="008F02F3" w:rsidRPr="005A73F0">
              <w:rPr>
                <w:rFonts w:ascii="Manrope" w:eastAsia="Arial Unicode MS" w:hAnsi="Manrope" w:cs="Arial Unicode MS"/>
                <w:sz w:val="18"/>
                <w:szCs w:val="18"/>
              </w:rPr>
              <w:t xml:space="preserve"> </w:t>
            </w:r>
            <w:sdt>
              <w:sdtPr>
                <w:rPr>
                  <w:rFonts w:ascii="Manrope" w:eastAsia="Arial Unicode MS" w:hAnsi="Manrope" w:cs="Arial Unicode MS"/>
                  <w:sz w:val="18"/>
                  <w:szCs w:val="18"/>
                </w:rPr>
                <w:id w:val="-1147582465"/>
                <w:placeholder>
                  <w:docPart w:val="DefaultPlaceholder_1082065159"/>
                </w:placeholder>
                <w:dropDownList>
                  <w:listItem w:value="Zvolte položku."/>
                  <w:listItem w:displayText="na dobu neurčitou. S ohledem na to neexistuje žádné datum splatnosti investice" w:value="na dobu neurčitou. S ohledem na to neexistuje žádné datum splatnosti investice"/>
                  <w:listItem w:displayText="na dobu určitou, a to 3 roky " w:value="na dobu určitou, a to 3 roky "/>
                  <w:listItem w:displayText="na dobu určitou, a to 4 roky" w:value="na dobu určitou, a to 4 roky"/>
                  <w:listItem w:displayText="na dobu určitou, a to 5 let" w:value="na dobu určitou, a to 5 let"/>
                  <w:listItem w:displayText="na dobu určitou, a to 6 let" w:value="na dobu určitou, a to 6 let"/>
                  <w:listItem w:displayText="na dobu určitou, a to 7 let" w:value="na dobu určitou, a to 7 let"/>
                  <w:listItem w:displayText="na dobu určitou, a to 8 let" w:value="na dobu určitou, a to 8 let"/>
                  <w:listItem w:displayText="na dobu určitou, a to 9 let" w:value="na dobu určitou, a to 9 let"/>
                  <w:listItem w:displayText="na dobu určitou, a to 10 let" w:value="na dobu určitou, a to 10 let"/>
                </w:dropDownList>
              </w:sdtPr>
              <w:sdtEndPr/>
              <w:sdtContent>
                <w:r w:rsidR="00722FBF" w:rsidRPr="005A73F0">
                  <w:rPr>
                    <w:rFonts w:ascii="Manrope" w:eastAsia="Arial Unicode MS" w:hAnsi="Manrope" w:cs="Arial Unicode MS"/>
                    <w:sz w:val="18"/>
                    <w:szCs w:val="18"/>
                  </w:rPr>
                  <w:t>na dobu neurčitou. S ohledem na to neexistuje žádné datum splatnosti investice</w:t>
                </w:r>
              </w:sdtContent>
            </w:sdt>
            <w:r w:rsidRPr="005A73F0">
              <w:rPr>
                <w:rFonts w:ascii="Manrope" w:eastAsia="Arial Unicode MS" w:hAnsi="Manrope" w:cs="Arial Unicode MS"/>
                <w:sz w:val="18"/>
                <w:szCs w:val="18"/>
              </w:rPr>
              <w:t>.</w:t>
            </w:r>
          </w:p>
        </w:tc>
      </w:tr>
      <w:tr w:rsidR="00ED2B7D" w:rsidRPr="00BF2058" w14:paraId="52D716CA" w14:textId="77777777" w:rsidTr="005E0377">
        <w:tc>
          <w:tcPr>
            <w:tcW w:w="10881" w:type="dxa"/>
            <w:gridSpan w:val="3"/>
            <w:tcBorders>
              <w:top w:val="nil"/>
              <w:left w:val="nil"/>
              <w:bottom w:val="single" w:sz="12" w:space="0" w:color="A6A6A6" w:themeColor="background1" w:themeShade="A6"/>
              <w:right w:val="nil"/>
            </w:tcBorders>
            <w:shd w:val="clear" w:color="auto" w:fill="EAEAEA"/>
            <w:vAlign w:val="center"/>
          </w:tcPr>
          <w:p w14:paraId="6A9E37FF" w14:textId="252E17EF" w:rsidR="00ED2B7D" w:rsidRPr="005A73F0" w:rsidRDefault="00ED2B7D" w:rsidP="00493CDF">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Fond může být zrušen z důvodů stanovených zákonem. Fond může být zrušen i z jiných než zákonných důvodů, a to rozhodnutí Společnosti, což může mít za následek, že investor nebude držet investici ve Fondu po doporučenou dobu držení. </w:t>
            </w:r>
            <w:r w:rsidRPr="005A73F0">
              <w:rPr>
                <w:rFonts w:ascii="Manrope" w:eastAsia="Arial Unicode MS" w:hAnsi="Manrope" w:cs="Arial Unicode MS"/>
                <w:b/>
                <w:sz w:val="18"/>
                <w:szCs w:val="18"/>
              </w:rPr>
              <w:t>Neexistuje a není poskytována žádná záruka ohledně možnosti setrvání investora ve Fondu.</w:t>
            </w:r>
          </w:p>
        </w:tc>
      </w:tr>
      <w:tr w:rsidR="00ED2B7D" w:rsidRPr="00BF2058" w14:paraId="21B41728" w14:textId="77777777" w:rsidTr="00BF1EF9">
        <w:tc>
          <w:tcPr>
            <w:tcW w:w="10881" w:type="dxa"/>
            <w:gridSpan w:val="3"/>
            <w:tcBorders>
              <w:top w:val="single" w:sz="12" w:space="0" w:color="A6A6A6" w:themeColor="background1" w:themeShade="A6"/>
              <w:left w:val="nil"/>
              <w:bottom w:val="nil"/>
              <w:right w:val="nil"/>
            </w:tcBorders>
            <w:shd w:val="clear" w:color="auto" w:fill="F2F2F2" w:themeFill="background1" w:themeFillShade="F2"/>
            <w:vAlign w:val="center"/>
          </w:tcPr>
          <w:p w14:paraId="20922577" w14:textId="77777777" w:rsidR="00ED2B7D" w:rsidRPr="00BF2058" w:rsidRDefault="00ED2B7D" w:rsidP="00436F30">
            <w:pPr>
              <w:spacing w:before="40" w:after="40"/>
              <w:jc w:val="both"/>
              <w:rPr>
                <w:rFonts w:ascii="Manrope" w:eastAsia="Arial Unicode MS" w:hAnsi="Manrope" w:cs="Arial Unicode MS"/>
                <w:b/>
                <w:color w:val="C61E58"/>
                <w:sz w:val="20"/>
                <w:szCs w:val="20"/>
              </w:rPr>
            </w:pPr>
            <w:r w:rsidRPr="00BF2058">
              <w:rPr>
                <w:rFonts w:ascii="Manrope" w:eastAsia="Arial Unicode MS" w:hAnsi="Manrope" w:cs="Arial Unicode MS"/>
                <w:b/>
                <w:color w:val="C61E58"/>
                <w:sz w:val="20"/>
                <w:szCs w:val="20"/>
              </w:rPr>
              <w:t>Jaká podstupuji rizika a jakého výnosu bych mohl dosáhnout?</w:t>
            </w:r>
          </w:p>
        </w:tc>
      </w:tr>
    </w:tbl>
    <w:tbl>
      <w:tblPr>
        <w:tblW w:w="10915" w:type="dxa"/>
        <w:tblInd w:w="-72" w:type="dxa"/>
        <w:tblCellMar>
          <w:left w:w="70" w:type="dxa"/>
          <w:right w:w="70" w:type="dxa"/>
        </w:tblCellMar>
        <w:tblLook w:val="04A0" w:firstRow="1" w:lastRow="0" w:firstColumn="1" w:lastColumn="0" w:noHBand="0" w:noVBand="1"/>
      </w:tblPr>
      <w:tblGrid>
        <w:gridCol w:w="5104"/>
        <w:gridCol w:w="5811"/>
      </w:tblGrid>
      <w:tr w:rsidR="004C679B" w:rsidRPr="00BF2058" w14:paraId="3CE44ED4" w14:textId="77777777" w:rsidTr="00B205B0">
        <w:trPr>
          <w:trHeight w:val="930"/>
        </w:trPr>
        <w:tc>
          <w:tcPr>
            <w:tcW w:w="5104" w:type="dxa"/>
            <w:tcBorders>
              <w:top w:val="nil"/>
              <w:left w:val="nil"/>
              <w:right w:val="nil"/>
            </w:tcBorders>
            <w:shd w:val="clear" w:color="000000" w:fill="F2F2F2"/>
            <w:vAlign w:val="center"/>
            <w:hideMark/>
          </w:tcPr>
          <w:p w14:paraId="02A46EAD" w14:textId="77777777" w:rsidR="004C679B" w:rsidRPr="00BF2058" w:rsidRDefault="004C679B" w:rsidP="00131972">
            <w:pPr>
              <w:jc w:val="center"/>
              <w:rPr>
                <w:rFonts w:ascii="Manrope" w:hAnsi="Manrope" w:cs="Calibri"/>
                <w:b/>
                <w:bCs/>
                <w:color w:val="000000"/>
                <w:sz w:val="18"/>
                <w:szCs w:val="18"/>
              </w:rPr>
            </w:pPr>
            <w:r w:rsidRPr="00BF2058">
              <w:rPr>
                <w:rFonts w:ascii="Manrope" w:hAnsi="Manrope" w:cs="Calibri"/>
                <w:b/>
                <w:bCs/>
                <w:color w:val="000000"/>
                <w:sz w:val="18"/>
                <w:szCs w:val="18"/>
              </w:rPr>
              <w:t>Syntetický ukazatel rizik (SRI)</w:t>
            </w:r>
          </w:p>
        </w:tc>
        <w:tc>
          <w:tcPr>
            <w:tcW w:w="5811" w:type="dxa"/>
            <w:vMerge w:val="restart"/>
            <w:tcBorders>
              <w:top w:val="nil"/>
              <w:left w:val="nil"/>
              <w:right w:val="nil"/>
            </w:tcBorders>
            <w:shd w:val="clear" w:color="000000" w:fill="F2F2F2"/>
            <w:vAlign w:val="center"/>
            <w:hideMark/>
          </w:tcPr>
          <w:p w14:paraId="79368DA1" w14:textId="5C997DE7" w:rsidR="00B205B0" w:rsidRPr="00BF2058" w:rsidRDefault="004C679B" w:rsidP="00BF2058">
            <w:pPr>
              <w:jc w:val="both"/>
              <w:rPr>
                <w:rFonts w:ascii="Manrope" w:hAnsi="Manrope" w:cs="Calibri"/>
                <w:color w:val="000000"/>
                <w:sz w:val="18"/>
                <w:szCs w:val="18"/>
              </w:rPr>
            </w:pPr>
            <w:r w:rsidRPr="00BF2058">
              <w:rPr>
                <w:rFonts w:ascii="Manrope" w:hAnsi="Manrope" w:cs="Calibri"/>
                <w:color w:val="000000"/>
                <w:sz w:val="18"/>
                <w:szCs w:val="18"/>
              </w:rPr>
              <w:t xml:space="preserve">Souhrnný ukazatel rizik (SRI) je vodítkem pro úroveň rizika tohoto produktu ve srovnání s jinými produkty. Ukazuje, jak je pravděpodobné, že produkt přijde o peníze v důsledku pohybů na trzích, nebo protože Vám nejsme schopni zaplatit (např. v důsledku negativního vývoje na trzích, neúspěchu některých technologických firem, změny technologického </w:t>
            </w:r>
            <w:r w:rsidR="00DE6170" w:rsidRPr="00BF2058">
              <w:rPr>
                <w:rFonts w:ascii="Manrope" w:hAnsi="Manrope" w:cs="Calibri"/>
                <w:color w:val="000000"/>
                <w:sz w:val="18"/>
                <w:szCs w:val="18"/>
              </w:rPr>
              <w:t>vývoje</w:t>
            </w:r>
            <w:r w:rsidRPr="00BF2058">
              <w:rPr>
                <w:rFonts w:ascii="Manrope" w:hAnsi="Manrope" w:cs="Calibri"/>
                <w:color w:val="000000"/>
                <w:sz w:val="18"/>
                <w:szCs w:val="18"/>
              </w:rPr>
              <w:t xml:space="preserve"> apod.). Uvedený ukazatel rizik předpokládá, že si produkt ponecháte </w:t>
            </w:r>
            <w:sdt>
              <w:sdtPr>
                <w:rPr>
                  <w:rFonts w:ascii="Manrope" w:eastAsia="Arial Unicode MS" w:hAnsi="Manrope" w:cs="Arial Unicode MS"/>
                  <w:sz w:val="18"/>
                  <w:szCs w:val="18"/>
                </w:rPr>
                <w:id w:val="-832526685"/>
                <w:placeholder>
                  <w:docPart w:val="7A52452432274289941197EB78DB13B0"/>
                </w:placeholder>
                <w:dropDownList>
                  <w:listItem w:value="Zvolte položku."/>
                  <w:listItem w:displayText="po 2 a více let " w:value="po 2 a více let "/>
                  <w:listItem w:displayText="po 3 a více let " w:value="po 3 a více let "/>
                  <w:listItem w:displayText="po 4 a více let " w:value="po 4 a více let "/>
                  <w:listItem w:displayText="po 5 a více let " w:value="po 5 a více let "/>
                  <w:listItem w:displayText="po 6 a více let " w:value="po 6 a více let "/>
                  <w:listItem w:displayText="po 7 a více let " w:value="po 7 a více let "/>
                  <w:listItem w:displayText="po 8 a více let " w:value="po 8 a více let "/>
                  <w:listItem w:displayText="po 9 a více let " w:value="po 9 a více let "/>
                  <w:listItem w:displayText="po 10 a více let " w:value="po 10 a více let "/>
                  <w:listItem w:displayText="5 let" w:value="5 let"/>
                  <w:listItem w:displayText="6 let" w:value="6 let"/>
                  <w:listItem w:displayText="7 let" w:value="7 let"/>
                  <w:listItem w:displayText="8 let" w:value="8 let"/>
                  <w:listItem w:displayText="9 let" w:value="9 let"/>
                  <w:listItem w:displayText="10 let" w:value="10 let"/>
                </w:dropDownList>
              </w:sdtPr>
              <w:sdtEndPr/>
              <w:sdtContent>
                <w:r w:rsidR="002C05ED">
                  <w:rPr>
                    <w:rFonts w:ascii="Manrope" w:eastAsia="Arial Unicode MS" w:hAnsi="Manrope" w:cs="Arial Unicode MS"/>
                    <w:sz w:val="18"/>
                    <w:szCs w:val="18"/>
                  </w:rPr>
                  <w:t>5 let</w:t>
                </w:r>
              </w:sdtContent>
            </w:sdt>
            <w:r w:rsidRPr="00BF2058">
              <w:rPr>
                <w:rFonts w:ascii="Manrope" w:hAnsi="Manrope" w:cs="Calibri"/>
                <w:color w:val="000000"/>
                <w:sz w:val="18"/>
                <w:szCs w:val="18"/>
              </w:rPr>
              <w:t xml:space="preserve"> (neexistuje-li přesné datum splatnosti). Skutečné riziko se může podstatně lišit, pokud provedete odprodej předčasně a můžete získat zpět méně. V</w:t>
            </w:r>
            <w:r w:rsidR="003E14A0" w:rsidRPr="00BF2058">
              <w:rPr>
                <w:rFonts w:ascii="Manrope" w:hAnsi="Manrope" w:cs="Calibri"/>
                <w:color w:val="000000"/>
                <w:sz w:val="18"/>
                <w:szCs w:val="18"/>
              </w:rPr>
              <w:t> </w:t>
            </w:r>
            <w:r w:rsidRPr="00BF2058">
              <w:rPr>
                <w:rFonts w:ascii="Manrope" w:hAnsi="Manrope" w:cs="Calibri"/>
                <w:color w:val="000000"/>
                <w:sz w:val="18"/>
                <w:szCs w:val="18"/>
              </w:rPr>
              <w:t xml:space="preserve">důsledku odkoupení investice před uplynutím doporučené doby držení Společnost </w:t>
            </w:r>
            <w:sdt>
              <w:sdtPr>
                <w:rPr>
                  <w:rFonts w:ascii="Manrope" w:eastAsia="Arial Unicode MS" w:hAnsi="Manrope" w:cs="Arial Unicode MS"/>
                  <w:sz w:val="18"/>
                  <w:szCs w:val="18"/>
                </w:rPr>
                <w:id w:val="-1899510281"/>
                <w:placeholder>
                  <w:docPart w:val="110635CDA2EB4FA58E946A07B952C3B4"/>
                </w:placeholder>
                <w:dropDownList>
                  <w:listItem w:value="Zvolte položku."/>
                  <w:listItem w:displayText="uplatňuje" w:value="uplatňuje"/>
                  <w:listItem w:displayText="neuplatňuje" w:value="neuplatňuje"/>
                </w:dropDownList>
              </w:sdtPr>
              <w:sdtEndPr/>
              <w:sdtContent>
                <w:r w:rsidR="002E5ED8">
                  <w:rPr>
                    <w:rFonts w:ascii="Manrope" w:eastAsia="Arial Unicode MS" w:hAnsi="Manrope" w:cs="Arial Unicode MS"/>
                    <w:sz w:val="18"/>
                    <w:szCs w:val="18"/>
                  </w:rPr>
                  <w:t>uplatňuje</w:t>
                </w:r>
              </w:sdtContent>
            </w:sdt>
            <w:r w:rsidRPr="00BF2058">
              <w:rPr>
                <w:rFonts w:ascii="Manrope" w:hAnsi="Manrope" w:cs="Calibri"/>
                <w:color w:val="000000"/>
                <w:sz w:val="18"/>
                <w:szCs w:val="18"/>
              </w:rPr>
              <w:t xml:space="preserve"> výstupní srážku.</w:t>
            </w:r>
            <w:r w:rsidRPr="00BF2058">
              <w:rPr>
                <w:rFonts w:ascii="Manrope" w:hAnsi="Manrope" w:cs="Calibri"/>
                <w:b/>
                <w:bCs/>
                <w:color w:val="FF0000"/>
                <w:sz w:val="18"/>
                <w:szCs w:val="18"/>
              </w:rPr>
              <w:t xml:space="preserve"> </w:t>
            </w:r>
          </w:p>
        </w:tc>
      </w:tr>
      <w:tr w:rsidR="004C679B" w:rsidRPr="00BF2058" w14:paraId="630C2421" w14:textId="77777777" w:rsidTr="00B205B0">
        <w:trPr>
          <w:trHeight w:val="327"/>
        </w:trPr>
        <w:tc>
          <w:tcPr>
            <w:tcW w:w="5104" w:type="dxa"/>
            <w:tcBorders>
              <w:top w:val="nil"/>
              <w:left w:val="nil"/>
            </w:tcBorders>
            <w:shd w:val="clear" w:color="000000" w:fill="F2F2F2"/>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8"/>
              <w:gridCol w:w="518"/>
              <w:gridCol w:w="518"/>
              <w:gridCol w:w="518"/>
              <w:gridCol w:w="518"/>
              <w:gridCol w:w="518"/>
            </w:tblGrid>
            <w:tr w:rsidR="004C679B" w:rsidRPr="00BF2058" w14:paraId="0BB408C8" w14:textId="77777777" w:rsidTr="00131972">
              <w:trPr>
                <w:jc w:val="center"/>
              </w:trPr>
              <w:tc>
                <w:tcPr>
                  <w:tcW w:w="5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0F6CE"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1</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903DF"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2</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63CFA"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3</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E4127"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4</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6323C"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5</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420310" w14:textId="77777777" w:rsidR="004C679B" w:rsidRPr="00BF2058" w:rsidRDefault="004C679B" w:rsidP="00131972">
                  <w:pPr>
                    <w:pStyle w:val="Textkomente"/>
                    <w:spacing w:before="40" w:after="40"/>
                    <w:rPr>
                      <w:rFonts w:ascii="Manrope" w:eastAsia="Arial Unicode MS" w:hAnsi="Manrope" w:cs="Arial Unicode MS"/>
                      <w:bCs/>
                      <w:sz w:val="18"/>
                      <w:szCs w:val="18"/>
                    </w:rPr>
                  </w:pPr>
                  <w:r w:rsidRPr="00BF2058">
                    <w:rPr>
                      <w:rFonts w:ascii="Manrope" w:eastAsia="Arial Unicode MS" w:hAnsi="Manrope" w:cs="Arial Unicode MS"/>
                      <w:bCs/>
                      <w:sz w:val="18"/>
                      <w:szCs w:val="18"/>
                    </w:rPr>
                    <w:t>6</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6F7C396D" w14:textId="77777777" w:rsidR="004C679B" w:rsidRPr="00BF2058" w:rsidRDefault="004C679B" w:rsidP="00131972">
                  <w:pPr>
                    <w:pStyle w:val="Textkomente"/>
                    <w:spacing w:before="40" w:after="40"/>
                    <w:rPr>
                      <w:rFonts w:ascii="Manrope" w:eastAsia="Arial Unicode MS" w:hAnsi="Manrope" w:cs="Arial Unicode MS"/>
                      <w:b/>
                      <w:sz w:val="18"/>
                      <w:szCs w:val="18"/>
                    </w:rPr>
                  </w:pPr>
                  <w:r w:rsidRPr="00BF2058">
                    <w:rPr>
                      <w:rFonts w:ascii="Manrope" w:eastAsia="Arial Unicode MS" w:hAnsi="Manrope" w:cs="Arial Unicode MS"/>
                      <w:b/>
                      <w:bCs/>
                      <w:color w:val="C61E58"/>
                      <w:sz w:val="18"/>
                      <w:szCs w:val="18"/>
                    </w:rPr>
                    <w:t>7</w:t>
                  </w:r>
                </w:p>
              </w:tc>
            </w:tr>
          </w:tbl>
          <w:p w14:paraId="14C18FA4" w14:textId="77777777" w:rsidR="004C679B" w:rsidRPr="00BF2058" w:rsidRDefault="004C679B" w:rsidP="00131972">
            <w:pPr>
              <w:jc w:val="right"/>
              <w:rPr>
                <w:rFonts w:ascii="Manrope" w:hAnsi="Manrope" w:cs="Calibri"/>
                <w:color w:val="000000"/>
                <w:sz w:val="18"/>
                <w:szCs w:val="18"/>
              </w:rPr>
            </w:pPr>
          </w:p>
        </w:tc>
        <w:tc>
          <w:tcPr>
            <w:tcW w:w="5811" w:type="dxa"/>
            <w:vMerge/>
            <w:tcBorders>
              <w:top w:val="nil"/>
              <w:right w:val="nil"/>
            </w:tcBorders>
            <w:vAlign w:val="center"/>
            <w:hideMark/>
          </w:tcPr>
          <w:p w14:paraId="60B035C8" w14:textId="77777777" w:rsidR="004C679B" w:rsidRPr="00BF2058" w:rsidRDefault="004C679B" w:rsidP="00131972">
            <w:pPr>
              <w:rPr>
                <w:rFonts w:ascii="Manrope" w:hAnsi="Manrope" w:cs="Calibri"/>
                <w:color w:val="000000"/>
                <w:sz w:val="18"/>
                <w:szCs w:val="18"/>
              </w:rPr>
            </w:pPr>
          </w:p>
        </w:tc>
      </w:tr>
      <w:tr w:rsidR="004C679B" w:rsidRPr="00BF2058" w14:paraId="6209ECC0" w14:textId="77777777" w:rsidTr="00B205B0">
        <w:trPr>
          <w:trHeight w:val="255"/>
        </w:trPr>
        <w:tc>
          <w:tcPr>
            <w:tcW w:w="5104" w:type="dxa"/>
            <w:tcBorders>
              <w:left w:val="nil"/>
              <w:bottom w:val="nil"/>
              <w:right w:val="nil"/>
            </w:tcBorders>
            <w:shd w:val="clear" w:color="000000" w:fill="F2F2F2"/>
            <w:vAlign w:val="center"/>
            <w:hideMark/>
          </w:tcPr>
          <w:tbl>
            <w:tblPr>
              <w:tblW w:w="0" w:type="auto"/>
              <w:jc w:val="center"/>
              <w:tblLook w:val="0000" w:firstRow="0" w:lastRow="0" w:firstColumn="0" w:lastColumn="0" w:noHBand="0" w:noVBand="0"/>
            </w:tblPr>
            <w:tblGrid>
              <w:gridCol w:w="1415"/>
              <w:gridCol w:w="477"/>
              <w:gridCol w:w="1428"/>
            </w:tblGrid>
            <w:tr w:rsidR="004C679B" w:rsidRPr="00BF2058" w14:paraId="2FE3164D" w14:textId="77777777" w:rsidTr="00131972">
              <w:trPr>
                <w:jc w:val="center"/>
              </w:trPr>
              <w:tc>
                <w:tcPr>
                  <w:tcW w:w="1415" w:type="dxa"/>
                </w:tcPr>
                <w:p w14:paraId="63D2E419" w14:textId="77777777" w:rsidR="004C679B" w:rsidRPr="00BF2058" w:rsidRDefault="004C679B" w:rsidP="00131972">
                  <w:pPr>
                    <w:pStyle w:val="Textkomente"/>
                    <w:spacing w:before="40" w:after="40"/>
                    <w:ind w:left="-108"/>
                    <w:rPr>
                      <w:rFonts w:ascii="Manrope" w:eastAsia="Arial Unicode MS" w:hAnsi="Manrope" w:cs="Arial Unicode MS"/>
                      <w:sz w:val="18"/>
                      <w:szCs w:val="18"/>
                    </w:rPr>
                  </w:pPr>
                  <w:r w:rsidRPr="00BF2058">
                    <w:rPr>
                      <w:rFonts w:ascii="Manrope" w:hAnsi="Manrope" w:cs="Calibri"/>
                      <w:color w:val="000000"/>
                      <w:sz w:val="18"/>
                      <w:szCs w:val="18"/>
                    </w:rPr>
                    <w:t> </w:t>
                  </w:r>
                  <w:r w:rsidRPr="00BF2058">
                    <w:rPr>
                      <w:rFonts w:ascii="Manrope" w:eastAsia="Arial Unicode MS" w:hAnsi="Manrope" w:cs="Arial Unicode MS"/>
                      <w:sz w:val="18"/>
                      <w:szCs w:val="18"/>
                    </w:rPr>
                    <w:sym w:font="Wingdings" w:char="F0E7"/>
                  </w:r>
                  <w:r w:rsidRPr="00BF2058">
                    <w:rPr>
                      <w:rFonts w:ascii="Manrope" w:eastAsia="Arial Unicode MS" w:hAnsi="Manrope" w:cs="Arial Unicode MS"/>
                      <w:sz w:val="18"/>
                      <w:szCs w:val="18"/>
                    </w:rPr>
                    <w:t xml:space="preserve"> </w:t>
                  </w:r>
                  <w:r w:rsidRPr="00BF2058">
                    <w:rPr>
                      <w:rFonts w:ascii="Manrope" w:eastAsia="Arial Unicode MS" w:hAnsi="Manrope" w:cs="Arial Unicode MS"/>
                      <w:b/>
                      <w:sz w:val="18"/>
                      <w:szCs w:val="18"/>
                    </w:rPr>
                    <w:t>nižší riziko</w:t>
                  </w:r>
                </w:p>
              </w:tc>
              <w:tc>
                <w:tcPr>
                  <w:tcW w:w="477" w:type="dxa"/>
                </w:tcPr>
                <w:p w14:paraId="2C857251" w14:textId="77777777" w:rsidR="004C679B" w:rsidRPr="00BF2058" w:rsidRDefault="004C679B" w:rsidP="00131972">
                  <w:pPr>
                    <w:pStyle w:val="Textkomente"/>
                    <w:spacing w:before="40" w:after="40"/>
                    <w:rPr>
                      <w:rFonts w:ascii="Manrope" w:eastAsia="Arial Unicode MS" w:hAnsi="Manrope" w:cs="Arial Unicode MS"/>
                      <w:sz w:val="18"/>
                      <w:szCs w:val="18"/>
                    </w:rPr>
                  </w:pPr>
                </w:p>
              </w:tc>
              <w:tc>
                <w:tcPr>
                  <w:tcW w:w="1428" w:type="dxa"/>
                </w:tcPr>
                <w:p w14:paraId="167F6219" w14:textId="77777777" w:rsidR="004C679B" w:rsidRPr="00BF2058" w:rsidRDefault="004C679B" w:rsidP="00131972">
                  <w:pPr>
                    <w:pStyle w:val="Textkomente"/>
                    <w:spacing w:before="40" w:after="40"/>
                    <w:ind w:right="-26"/>
                    <w:jc w:val="right"/>
                    <w:rPr>
                      <w:rFonts w:ascii="Manrope" w:eastAsia="Arial Unicode MS" w:hAnsi="Manrope" w:cs="Arial Unicode MS"/>
                      <w:b/>
                      <w:bCs/>
                      <w:sz w:val="18"/>
                      <w:szCs w:val="18"/>
                    </w:rPr>
                  </w:pPr>
                  <w:r w:rsidRPr="00BF2058">
                    <w:rPr>
                      <w:rFonts w:ascii="Manrope" w:eastAsia="Arial Unicode MS" w:hAnsi="Manrope" w:cs="Arial Unicode MS"/>
                      <w:b/>
                      <w:sz w:val="18"/>
                      <w:szCs w:val="18"/>
                    </w:rPr>
                    <w:t>vyšší riziko</w:t>
                  </w:r>
                  <w:r w:rsidRPr="00BF2058">
                    <w:rPr>
                      <w:rFonts w:ascii="Manrope" w:eastAsia="Arial Unicode MS" w:hAnsi="Manrope" w:cs="Arial Unicode MS"/>
                      <w:sz w:val="18"/>
                      <w:szCs w:val="18"/>
                    </w:rPr>
                    <w:t xml:space="preserve"> </w:t>
                  </w:r>
                  <w:r w:rsidRPr="00BF2058">
                    <w:rPr>
                      <w:rFonts w:ascii="Manrope" w:eastAsia="Arial Unicode MS" w:hAnsi="Manrope" w:cs="Arial Unicode MS"/>
                      <w:sz w:val="18"/>
                      <w:szCs w:val="18"/>
                    </w:rPr>
                    <w:sym w:font="Wingdings" w:char="F0E8"/>
                  </w:r>
                </w:p>
              </w:tc>
            </w:tr>
          </w:tbl>
          <w:p w14:paraId="01398D7D" w14:textId="6C39C6BE" w:rsidR="004C679B" w:rsidRDefault="004C679B" w:rsidP="00131972">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Tento produkt byl zařazen do </w:t>
            </w:r>
            <w:sdt>
              <w:sdtPr>
                <w:rPr>
                  <w:rFonts w:ascii="Manrope" w:eastAsia="Arial Unicode MS" w:hAnsi="Manrope" w:cs="Arial Unicode MS"/>
                  <w:sz w:val="18"/>
                  <w:szCs w:val="18"/>
                </w:rPr>
                <w:id w:val="-897741686"/>
                <w:placeholder>
                  <w:docPart w:val="93327078E3444C569027CF951C8029DE"/>
                </w:placeholder>
                <w:dropDownList>
                  <w:listItem w:value="Zvolte položku."/>
                  <w:listItem w:displayText="7 ze 7, což je nejvyšší třída rizik " w:value="7 ze 7, což je nejvyšší třída rizik "/>
                  <w:listItem w:displayText="6 ze 7, což je druhá nejvyšší třída rizik " w:value="6 ze 7, což je druhá nejvyšší třída rizik "/>
                  <w:listItem w:displayText="5 ze 7, což je třetí nejvyšší třída rizik " w:value="5 ze 7, což je třetí nejvyšší třída rizik "/>
                  <w:listItem w:displayText="4 ze 7, což je středníí třída rizik " w:value="4 ze 7, což je středníí třída rizik "/>
                  <w:listItem w:displayText="3 ze 7, což je třetí nejnižší třída rizik " w:value="3 ze 7, což je třetí nejnižší třída rizik "/>
                  <w:listItem w:displayText="2 ze 7, což je druhá nejnižší třída rizik " w:value="2 ze 7, což je druhá nejnižší třída rizik "/>
                  <w:listItem w:displayText="1 ze 7, což je nejnižší třída rizik " w:value="1 ze 7, což je nejnižší třída rizik "/>
                </w:dropDownList>
              </w:sdtPr>
              <w:sdtEndPr/>
              <w:sdtContent>
                <w:r w:rsidR="00722FBF" w:rsidRPr="00BF2058">
                  <w:rPr>
                    <w:rFonts w:ascii="Manrope" w:eastAsia="Arial Unicode MS" w:hAnsi="Manrope" w:cs="Arial Unicode MS"/>
                    <w:sz w:val="18"/>
                    <w:szCs w:val="18"/>
                  </w:rPr>
                  <w:t xml:space="preserve">7 ze 7, což je nejvyšší třída rizik </w:t>
                </w:r>
              </w:sdtContent>
            </w:sdt>
            <w:r w:rsidR="00B205B0" w:rsidRPr="00BF2058">
              <w:rPr>
                <w:rFonts w:ascii="Manrope" w:eastAsia="Arial Unicode MS" w:hAnsi="Manrope" w:cs="Arial Unicode MS"/>
                <w:sz w:val="18"/>
                <w:szCs w:val="18"/>
              </w:rPr>
              <w:t xml:space="preserve">. </w:t>
            </w:r>
            <w:r w:rsidRPr="00BF2058">
              <w:rPr>
                <w:rFonts w:ascii="Manrope" w:eastAsia="Arial Unicode MS" w:hAnsi="Manrope" w:cs="Arial Unicode MS"/>
                <w:sz w:val="18"/>
                <w:szCs w:val="18"/>
              </w:rPr>
              <w:t xml:space="preserve">Doporučená doba držení (investiční horizont) </w:t>
            </w:r>
            <w:sdt>
              <w:sdtPr>
                <w:rPr>
                  <w:rFonts w:ascii="Manrope" w:eastAsia="Arial Unicode MS" w:hAnsi="Manrope" w:cs="Arial Unicode MS"/>
                  <w:sz w:val="18"/>
                  <w:szCs w:val="18"/>
                </w:rPr>
                <w:id w:val="-1270626757"/>
                <w:placeholder>
                  <w:docPart w:val="703F57D71E6045D9A42169A26C6F319B"/>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6C0EA4">
                  <w:rPr>
                    <w:rFonts w:ascii="Manrope" w:eastAsia="Arial Unicode MS" w:hAnsi="Manrope" w:cs="Arial Unicode MS"/>
                    <w:sz w:val="18"/>
                    <w:szCs w:val="18"/>
                  </w:rPr>
                  <w:t>5 let</w:t>
                </w:r>
              </w:sdtContent>
            </w:sdt>
            <w:r w:rsidRPr="00BF2058">
              <w:rPr>
                <w:rFonts w:ascii="Manrope" w:eastAsia="Arial Unicode MS" w:hAnsi="Manrope" w:cs="Arial Unicode MS"/>
                <w:sz w:val="18"/>
                <w:szCs w:val="18"/>
              </w:rPr>
              <w:t xml:space="preserve"> </w:t>
            </w:r>
          </w:p>
          <w:p w14:paraId="35DB4ACF" w14:textId="1FCFC808" w:rsidR="00746E16" w:rsidRPr="00BF2058" w:rsidRDefault="00746E16" w:rsidP="00131972">
            <w:pPr>
              <w:pStyle w:val="Zkladntext"/>
              <w:spacing w:before="40" w:after="40"/>
              <w:jc w:val="both"/>
              <w:rPr>
                <w:rFonts w:ascii="Manrope" w:hAnsi="Manrope" w:cs="Calibri"/>
                <w:color w:val="000000"/>
                <w:sz w:val="18"/>
                <w:szCs w:val="18"/>
              </w:rPr>
            </w:pPr>
          </w:p>
        </w:tc>
        <w:tc>
          <w:tcPr>
            <w:tcW w:w="5811" w:type="dxa"/>
            <w:vMerge/>
            <w:tcBorders>
              <w:left w:val="nil"/>
              <w:bottom w:val="nil"/>
              <w:right w:val="nil"/>
            </w:tcBorders>
            <w:vAlign w:val="center"/>
            <w:hideMark/>
          </w:tcPr>
          <w:p w14:paraId="38D1C1F0" w14:textId="77777777" w:rsidR="004C679B" w:rsidRPr="00BF2058" w:rsidRDefault="004C679B" w:rsidP="00131972">
            <w:pPr>
              <w:rPr>
                <w:rFonts w:ascii="Manrope" w:hAnsi="Manrope" w:cs="Calibri"/>
                <w:color w:val="000000"/>
                <w:sz w:val="18"/>
                <w:szCs w:val="18"/>
              </w:rPr>
            </w:pPr>
          </w:p>
        </w:tc>
      </w:tr>
    </w:tbl>
    <w:tbl>
      <w:tblPr>
        <w:tblStyle w:val="Mkatabulky"/>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0881"/>
      </w:tblGrid>
      <w:tr w:rsidR="0067176D" w:rsidRPr="00BF2058" w14:paraId="6FBB143E" w14:textId="77777777" w:rsidTr="00436F30">
        <w:tc>
          <w:tcPr>
            <w:tcW w:w="10881" w:type="dxa"/>
            <w:tcBorders>
              <w:top w:val="nil"/>
              <w:left w:val="nil"/>
              <w:bottom w:val="nil"/>
              <w:right w:val="nil"/>
            </w:tcBorders>
            <w:shd w:val="clear" w:color="auto" w:fill="F2F2F2" w:themeFill="background1" w:themeFillShade="F2"/>
            <w:vAlign w:val="center"/>
          </w:tcPr>
          <w:p w14:paraId="2D6613FF" w14:textId="5B06A548" w:rsidR="00746E16" w:rsidRPr="00746E16" w:rsidRDefault="0067176D" w:rsidP="00746E16">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Pozor na </w:t>
            </w:r>
            <w:r w:rsidRPr="00BF2058">
              <w:rPr>
                <w:rFonts w:ascii="Manrope" w:eastAsia="Arial Unicode MS" w:hAnsi="Manrope" w:cs="Arial Unicode MS"/>
                <w:b/>
                <w:sz w:val="18"/>
                <w:szCs w:val="18"/>
              </w:rPr>
              <w:t>riziko likvidity</w:t>
            </w:r>
            <w:r w:rsidRPr="00BF2058">
              <w:rPr>
                <w:rFonts w:ascii="Manrope" w:eastAsia="Arial Unicode MS" w:hAnsi="Manrope" w:cs="Arial Unicode MS"/>
                <w:sz w:val="18"/>
                <w:szCs w:val="18"/>
              </w:rPr>
              <w:t xml:space="preserve">. </w:t>
            </w:r>
            <w:r w:rsidR="00746E16" w:rsidRPr="00746E16">
              <w:rPr>
                <w:rFonts w:ascii="Manrope" w:eastAsia="Arial Unicode MS" w:hAnsi="Manrope" w:cs="Arial Unicode MS"/>
                <w:sz w:val="18"/>
                <w:szCs w:val="18"/>
              </w:rPr>
              <w:t>Fond je povinen odkoupit Vaše investiční akcie do 12 měsíců ode dne skončení kalendářního čtvrtletí,</w:t>
            </w:r>
          </w:p>
          <w:p w14:paraId="0D83806C" w14:textId="28FF91ED" w:rsidR="0067176D" w:rsidRPr="00BF2058" w:rsidRDefault="00746E16" w:rsidP="00746E16">
            <w:pPr>
              <w:pStyle w:val="Zkladntext"/>
              <w:spacing w:before="40" w:after="40"/>
              <w:jc w:val="both"/>
              <w:rPr>
                <w:rFonts w:ascii="Manrope" w:eastAsia="Arial Unicode MS" w:hAnsi="Manrope" w:cs="Arial Unicode MS"/>
                <w:sz w:val="18"/>
                <w:szCs w:val="18"/>
              </w:rPr>
            </w:pPr>
            <w:r w:rsidRPr="00746E16">
              <w:rPr>
                <w:rFonts w:ascii="Manrope" w:eastAsia="Arial Unicode MS" w:hAnsi="Manrope" w:cs="Arial Unicode MS"/>
                <w:sz w:val="18"/>
                <w:szCs w:val="18"/>
              </w:rPr>
              <w:t>v němž byla doručena žádost o odkoupení.</w:t>
            </w:r>
          </w:p>
          <w:p w14:paraId="21B7C772" w14:textId="77777777" w:rsidR="003E14A0" w:rsidRPr="00BF2058" w:rsidRDefault="0067176D" w:rsidP="00BB2BEC">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Pozor na </w:t>
            </w:r>
            <w:r w:rsidRPr="00BF2058">
              <w:rPr>
                <w:rFonts w:ascii="Manrope" w:eastAsia="Arial Unicode MS" w:hAnsi="Manrope" w:cs="Arial Unicode MS"/>
                <w:b/>
                <w:sz w:val="18"/>
                <w:szCs w:val="18"/>
              </w:rPr>
              <w:t>měnové riziko</w:t>
            </w:r>
            <w:r w:rsidRPr="00BF2058">
              <w:rPr>
                <w:rFonts w:ascii="Manrope" w:eastAsia="Arial Unicode MS" w:hAnsi="Manrope" w:cs="Arial Unicode MS"/>
                <w:sz w:val="18"/>
                <w:szCs w:val="18"/>
              </w:rPr>
              <w:t xml:space="preserve">. </w:t>
            </w:r>
            <w:r w:rsidR="004D4A45" w:rsidRPr="00BF2058">
              <w:rPr>
                <w:rFonts w:ascii="Manrope" w:eastAsia="Arial Unicode MS" w:hAnsi="Manrope" w:cs="Arial Unicode MS"/>
                <w:sz w:val="18"/>
                <w:szCs w:val="18"/>
              </w:rPr>
              <w:t>Fond může investovat do investičních aktiv</w:t>
            </w:r>
            <w:r w:rsidR="00BB2BEC" w:rsidRPr="00BF2058">
              <w:rPr>
                <w:rFonts w:ascii="Manrope" w:eastAsia="Arial Unicode MS" w:hAnsi="Manrope" w:cs="Arial Unicode MS"/>
                <w:sz w:val="18"/>
                <w:szCs w:val="18"/>
              </w:rPr>
              <w:t xml:space="preserve"> nacházejících se v Evropě</w:t>
            </w:r>
            <w:r w:rsidR="004D4A45" w:rsidRPr="00BF2058">
              <w:rPr>
                <w:rFonts w:ascii="Manrope" w:eastAsia="Arial Unicode MS" w:hAnsi="Manrope" w:cs="Arial Unicode MS"/>
                <w:sz w:val="18"/>
                <w:szCs w:val="18"/>
              </w:rPr>
              <w:t>, jeho výnosnost proto závisí mj. též na směnném kurzu mezi měnou státu, kde se investice nachází, a českými</w:t>
            </w:r>
            <w:r w:rsidR="00BB2BEC" w:rsidRPr="00BF2058">
              <w:rPr>
                <w:rFonts w:ascii="Manrope" w:eastAsia="Arial Unicode MS" w:hAnsi="Manrope" w:cs="Arial Unicode MS"/>
                <w:sz w:val="18"/>
                <w:szCs w:val="18"/>
              </w:rPr>
              <w:t xml:space="preserve"> korunami</w:t>
            </w:r>
            <w:r w:rsidR="004D4A45" w:rsidRPr="00BF2058">
              <w:rPr>
                <w:rFonts w:ascii="Manrope" w:eastAsia="Arial Unicode MS" w:hAnsi="Manrope" w:cs="Arial Unicode MS"/>
                <w:sz w:val="18"/>
                <w:szCs w:val="18"/>
              </w:rPr>
              <w:t>, v nichž je produkt denominován.</w:t>
            </w:r>
          </w:p>
          <w:p w14:paraId="08E2614A" w14:textId="66D2E499" w:rsidR="003E14A0" w:rsidRPr="00BF2058" w:rsidRDefault="003E14A0" w:rsidP="00BB2BEC">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V současné době nejsou zohledňována rizika udržitelnosti coby samostatné kategorie rizik, jelikož předmětná rizika nejsou s ohledem na složení portfolia investičního fondu a investiční strategie relevantní, resp. již jsou obsažena v jiných kategoriích rizik. V relevantních případech však mohou být rizika týkající se udržitelnosti ze strany obhospodařovatele posuzována a výsledky posouzení mohou být zohledňovány v rámci investičních rozhodnutí s ohledem na povahu podkladových aktiv.</w:t>
            </w:r>
          </w:p>
        </w:tc>
      </w:tr>
    </w:tbl>
    <w:p w14:paraId="1169F2B1" w14:textId="77777777" w:rsidR="00C66471" w:rsidRPr="00BF2058" w:rsidRDefault="00C66471">
      <w:pPr>
        <w:rPr>
          <w:rFonts w:ascii="Manrope" w:hAnsi="Manrope"/>
          <w:sz w:val="20"/>
          <w:szCs w:val="20"/>
        </w:rPr>
      </w:pPr>
    </w:p>
    <w:tbl>
      <w:tblPr>
        <w:tblStyle w:val="Mkatabulky"/>
        <w:tblpPr w:leftFromText="141" w:rightFromText="141" w:vertAnchor="text" w:tblpY="1"/>
        <w:tblOverlap w:val="neve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4536"/>
        <w:gridCol w:w="1597"/>
        <w:gridCol w:w="1231"/>
        <w:gridCol w:w="3517"/>
      </w:tblGrid>
      <w:tr w:rsidR="00ED2B7D" w:rsidRPr="00BF2058" w14:paraId="3AB3E317" w14:textId="77777777" w:rsidTr="00173C39">
        <w:tc>
          <w:tcPr>
            <w:tcW w:w="10881" w:type="dxa"/>
            <w:gridSpan w:val="4"/>
            <w:tcBorders>
              <w:top w:val="nil"/>
              <w:left w:val="nil"/>
              <w:bottom w:val="nil"/>
              <w:right w:val="nil"/>
            </w:tcBorders>
            <w:shd w:val="clear" w:color="auto" w:fill="F2F2F2" w:themeFill="background1" w:themeFillShade="F2"/>
            <w:vAlign w:val="center"/>
          </w:tcPr>
          <w:p w14:paraId="050F6575" w14:textId="168DC5B3"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Jiná rizika nezohledněná v</w:t>
            </w:r>
            <w:r w:rsidR="00D116EB" w:rsidRPr="00BF2058">
              <w:rPr>
                <w:rFonts w:ascii="Manrope" w:eastAsia="Arial Unicode MS" w:hAnsi="Manrope" w:cs="Arial Unicode MS"/>
                <w:b/>
                <w:sz w:val="20"/>
                <w:szCs w:val="20"/>
              </w:rPr>
              <w:t> </w:t>
            </w:r>
            <w:r w:rsidRPr="00BF2058">
              <w:rPr>
                <w:rFonts w:ascii="Manrope" w:eastAsia="Arial Unicode MS" w:hAnsi="Manrope" w:cs="Arial Unicode MS"/>
                <w:b/>
                <w:sz w:val="20"/>
                <w:szCs w:val="20"/>
              </w:rPr>
              <w:t>SRI</w:t>
            </w:r>
            <w:r w:rsidR="00D116EB" w:rsidRPr="00BF2058">
              <w:rPr>
                <w:rFonts w:ascii="Manrope" w:eastAsia="Arial Unicode MS" w:hAnsi="Manrope" w:cs="Arial Unicode MS"/>
                <w:b/>
                <w:sz w:val="20"/>
                <w:szCs w:val="20"/>
              </w:rPr>
              <w:t xml:space="preserve"> (podrobnější popis rizik – viz </w:t>
            </w:r>
            <w:r w:rsidR="00722FBF" w:rsidRPr="00BF2058">
              <w:rPr>
                <w:rFonts w:ascii="Manrope" w:eastAsia="Arial Unicode MS" w:hAnsi="Manrope" w:cs="Arial Unicode MS"/>
                <w:b/>
                <w:sz w:val="20"/>
                <w:szCs w:val="20"/>
              </w:rPr>
              <w:t>investiční příloha</w:t>
            </w:r>
            <w:r w:rsidR="00D116EB" w:rsidRPr="00BF2058">
              <w:rPr>
                <w:rFonts w:ascii="Manrope" w:eastAsia="Arial Unicode MS" w:hAnsi="Manrope" w:cs="Arial Unicode MS"/>
                <w:b/>
                <w:sz w:val="20"/>
                <w:szCs w:val="20"/>
              </w:rPr>
              <w:t xml:space="preserve"> Fondu, kapitola </w:t>
            </w:r>
            <w:r w:rsidR="00722FBF" w:rsidRPr="00BF2058">
              <w:rPr>
                <w:rFonts w:ascii="Manrope" w:eastAsia="Arial Unicode MS" w:hAnsi="Manrope" w:cs="Arial Unicode MS"/>
                <w:b/>
                <w:sz w:val="20"/>
                <w:szCs w:val="20"/>
              </w:rPr>
              <w:t>2</w:t>
            </w:r>
            <w:r w:rsidR="00D116EB" w:rsidRPr="00BF2058">
              <w:rPr>
                <w:rFonts w:ascii="Manrope" w:eastAsia="Arial Unicode MS" w:hAnsi="Manrope" w:cs="Arial Unicode MS"/>
                <w:b/>
                <w:sz w:val="20"/>
                <w:szCs w:val="20"/>
              </w:rPr>
              <w:t>)</w:t>
            </w:r>
          </w:p>
        </w:tc>
      </w:tr>
      <w:tr w:rsidR="00ED2B7D" w:rsidRPr="00BF2058" w14:paraId="2B82B7E9" w14:textId="77777777" w:rsidTr="00173C39">
        <w:tc>
          <w:tcPr>
            <w:tcW w:w="10881" w:type="dxa"/>
            <w:gridSpan w:val="4"/>
            <w:tcBorders>
              <w:top w:val="nil"/>
              <w:left w:val="nil"/>
              <w:bottom w:val="nil"/>
              <w:right w:val="nil"/>
            </w:tcBorders>
            <w:shd w:val="clear" w:color="auto" w:fill="F2F2F2" w:themeFill="background1" w:themeFillShade="F2"/>
            <w:vAlign w:val="center"/>
          </w:tcPr>
          <w:p w14:paraId="221BBBEE" w14:textId="77777777" w:rsidR="00ED2B7D" w:rsidRPr="00BF2058" w:rsidRDefault="00ED2B7D" w:rsidP="0064262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Jinými riziky nezohledněnými v SRI jsou zejména:</w:t>
            </w:r>
          </w:p>
          <w:p w14:paraId="1D055362" w14:textId="77777777" w:rsidR="00ED2B7D" w:rsidRPr="00BF2058" w:rsidRDefault="00ED2B7D" w:rsidP="0064262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Operační riziko způsobené možným selháním vnitřních procesů, lidského faktoru nebo vlivem vnějších událostí. </w:t>
            </w:r>
          </w:p>
          <w:p w14:paraId="7DA45827" w14:textId="77777777" w:rsidR="002C4B6E" w:rsidRDefault="004D4A45" w:rsidP="00D116E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Rizika spojená s t</w:t>
            </w:r>
            <w:r w:rsidR="00BB2BEC" w:rsidRPr="00BF2058">
              <w:rPr>
                <w:rFonts w:ascii="Manrope" w:eastAsia="Arial Unicode MS" w:hAnsi="Manrope" w:cs="Arial Unicode MS"/>
                <w:sz w:val="18"/>
                <w:szCs w:val="18"/>
              </w:rPr>
              <w:t>ypem aktiv, na které je zaměřena</w:t>
            </w:r>
            <w:r w:rsidRPr="00BF2058">
              <w:rPr>
                <w:rFonts w:ascii="Manrope" w:eastAsia="Arial Unicode MS" w:hAnsi="Manrope" w:cs="Arial Unicode MS"/>
                <w:sz w:val="18"/>
                <w:szCs w:val="18"/>
              </w:rPr>
              <w:t xml:space="preserve"> investiční strategie Fondu (viz "Cíle"), které představuje zejména tržní riziko, </w:t>
            </w:r>
            <w:r w:rsidR="00654A43" w:rsidRPr="00BF2058">
              <w:rPr>
                <w:rFonts w:ascii="Manrope" w:eastAsia="Arial Unicode MS" w:hAnsi="Manrope" w:cs="Arial Unicode MS"/>
                <w:sz w:val="18"/>
                <w:szCs w:val="18"/>
              </w:rPr>
              <w:t>úrokové</w:t>
            </w:r>
            <w:r w:rsidRPr="00BF2058">
              <w:rPr>
                <w:rFonts w:ascii="Manrope" w:eastAsia="Arial Unicode MS" w:hAnsi="Manrope" w:cs="Arial Unicode MS"/>
                <w:sz w:val="18"/>
                <w:szCs w:val="18"/>
              </w:rPr>
              <w:t xml:space="preserve"> riziko, riziko koncentrace, riziko </w:t>
            </w:r>
            <w:r w:rsidR="00654A43" w:rsidRPr="00BF2058">
              <w:rPr>
                <w:rFonts w:ascii="Manrope" w:eastAsia="Arial Unicode MS" w:hAnsi="Manrope" w:cs="Arial Unicode MS"/>
                <w:sz w:val="18"/>
                <w:szCs w:val="18"/>
              </w:rPr>
              <w:t>denominace investic v cizí měně</w:t>
            </w:r>
            <w:r w:rsidRPr="00BF2058">
              <w:rPr>
                <w:rFonts w:ascii="Manrope" w:eastAsia="Arial Unicode MS" w:hAnsi="Manrope" w:cs="Arial Unicode MS"/>
                <w:sz w:val="18"/>
                <w:szCs w:val="18"/>
              </w:rPr>
              <w:t xml:space="preserve"> a měnové riziko.</w:t>
            </w:r>
          </w:p>
          <w:p w14:paraId="705C99BC" w14:textId="2E7946F8" w:rsidR="002C05ED" w:rsidRPr="00BF2058" w:rsidRDefault="002C05ED" w:rsidP="00D116EB">
            <w:pPr>
              <w:spacing w:before="40" w:after="40"/>
              <w:jc w:val="both"/>
              <w:rPr>
                <w:rFonts w:ascii="Manrope" w:eastAsia="Arial Unicode MS" w:hAnsi="Manrope" w:cs="Arial Unicode MS"/>
                <w:sz w:val="20"/>
                <w:szCs w:val="20"/>
              </w:rPr>
            </w:pPr>
          </w:p>
        </w:tc>
      </w:tr>
      <w:tr w:rsidR="00ED2B7D" w:rsidRPr="00BF2058" w14:paraId="43A7E83D" w14:textId="77777777" w:rsidTr="00173C39">
        <w:tc>
          <w:tcPr>
            <w:tcW w:w="10881" w:type="dxa"/>
            <w:gridSpan w:val="4"/>
            <w:tcBorders>
              <w:top w:val="nil"/>
              <w:left w:val="nil"/>
              <w:bottom w:val="nil"/>
              <w:right w:val="nil"/>
            </w:tcBorders>
            <w:shd w:val="clear" w:color="auto" w:fill="F2F2F2" w:themeFill="background1" w:themeFillShade="F2"/>
            <w:vAlign w:val="center"/>
          </w:tcPr>
          <w:p w14:paraId="50D62DCD"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Maximální možná ztráta investovaného kapitálu a další upozornění</w:t>
            </w:r>
          </w:p>
        </w:tc>
      </w:tr>
      <w:tr w:rsidR="00ED2B7D" w:rsidRPr="00BF2058" w14:paraId="64CF692B" w14:textId="77777777" w:rsidTr="00173C39">
        <w:tc>
          <w:tcPr>
            <w:tcW w:w="10881" w:type="dxa"/>
            <w:gridSpan w:val="4"/>
            <w:tcBorders>
              <w:top w:val="nil"/>
              <w:left w:val="nil"/>
              <w:bottom w:val="nil"/>
              <w:right w:val="nil"/>
            </w:tcBorders>
            <w:shd w:val="clear" w:color="auto" w:fill="D9D9D9" w:themeFill="background1" w:themeFillShade="D9"/>
            <w:vAlign w:val="center"/>
          </w:tcPr>
          <w:p w14:paraId="1B85530A" w14:textId="0E972488" w:rsidR="00ED2B7D" w:rsidRPr="00BF2058" w:rsidRDefault="003A44DB" w:rsidP="0098456A">
            <w:pPr>
              <w:spacing w:before="40" w:after="40"/>
              <w:jc w:val="both"/>
              <w:rPr>
                <w:rFonts w:ascii="Manrope" w:eastAsia="Arial Unicode MS" w:hAnsi="Manrope" w:cs="Arial Unicode MS"/>
                <w:sz w:val="20"/>
                <w:szCs w:val="20"/>
              </w:rPr>
            </w:pPr>
            <w:sdt>
              <w:sdtPr>
                <w:rPr>
                  <w:rFonts w:ascii="Manrope" w:eastAsia="Arial Unicode MS" w:hAnsi="Manrope" w:cs="Arial Unicode MS"/>
                  <w:sz w:val="18"/>
                  <w:szCs w:val="18"/>
                </w:rPr>
                <w:id w:val="436958253"/>
                <w:placeholder>
                  <w:docPart w:val="DefaultPlaceholder_1082065159"/>
                </w:placeholder>
                <w:dropDownList>
                  <w:listItem w:value="Zvolte položku."/>
                  <w:listItem w:displayText="Investor může ztratit veškerý investovaný kapitál" w:value="Investor může ztratit veškerý investovaný kapitál"/>
                  <w:listItem w:displayText="Investor nemůže ztratit veškerý investovaný kapitál" w:value="Investor nemůže ztratit veškerý investovaný kapitál"/>
                </w:dropDownList>
              </w:sdtPr>
              <w:sdtEndPr/>
              <w:sdtContent>
                <w:r w:rsidR="00461E1F" w:rsidRPr="00BF2058">
                  <w:rPr>
                    <w:rFonts w:ascii="Manrope" w:eastAsia="Arial Unicode MS" w:hAnsi="Manrope" w:cs="Arial Unicode MS"/>
                    <w:sz w:val="18"/>
                    <w:szCs w:val="18"/>
                  </w:rPr>
                  <w:t>Investor může ztratit veškerý investovaný kapitál</w:t>
                </w:r>
              </w:sdtContent>
            </w:sdt>
            <w:r w:rsidR="00ED2B7D" w:rsidRPr="00BF2058">
              <w:rPr>
                <w:rFonts w:ascii="Manrope" w:eastAsia="Arial Unicode MS" w:hAnsi="Manrope" w:cs="Arial Unicode MS"/>
                <w:sz w:val="18"/>
                <w:szCs w:val="18"/>
              </w:rPr>
              <w:t xml:space="preserve">. </w:t>
            </w:r>
          </w:p>
        </w:tc>
      </w:tr>
      <w:tr w:rsidR="00ED2B7D" w:rsidRPr="00BF2058" w14:paraId="48AAEAC0" w14:textId="77777777" w:rsidTr="00173C39">
        <w:tc>
          <w:tcPr>
            <w:tcW w:w="10881" w:type="dxa"/>
            <w:gridSpan w:val="4"/>
            <w:tcBorders>
              <w:top w:val="nil"/>
              <w:left w:val="nil"/>
              <w:bottom w:val="nil"/>
              <w:right w:val="nil"/>
            </w:tcBorders>
            <w:shd w:val="clear" w:color="auto" w:fill="F2F2F2" w:themeFill="background1" w:themeFillShade="F2"/>
            <w:vAlign w:val="center"/>
          </w:tcPr>
          <w:p w14:paraId="13842938" w14:textId="33A40556" w:rsidR="00A84846" w:rsidRPr="00BF2058" w:rsidRDefault="00DE6170" w:rsidP="0064262B">
            <w:pPr>
              <w:spacing w:before="120" w:after="120"/>
              <w:rPr>
                <w:rFonts w:ascii="Manrope" w:eastAsia="Arial Unicode MS" w:hAnsi="Manrope" w:cs="Arial Unicode MS"/>
                <w:sz w:val="18"/>
                <w:szCs w:val="18"/>
              </w:rPr>
            </w:pPr>
            <w:r w:rsidRPr="00BF2058">
              <w:rPr>
                <w:rFonts w:ascii="Manrope" w:eastAsia="Arial Unicode MS" w:hAnsi="Manrope" w:cs="Arial Unicode MS"/>
                <w:sz w:val="18"/>
                <w:szCs w:val="18"/>
              </w:rPr>
              <w:t>Investice – Scénáře</w:t>
            </w:r>
            <w:r w:rsidR="00ED2B7D" w:rsidRPr="00BF2058">
              <w:rPr>
                <w:rFonts w:ascii="Manrope" w:eastAsia="Arial Unicode MS" w:hAnsi="Manrope" w:cs="Arial Unicode MS"/>
                <w:sz w:val="18"/>
                <w:szCs w:val="18"/>
              </w:rPr>
              <w:t xml:space="preserve"> výkonnosti</w:t>
            </w:r>
            <w:r w:rsidR="009A46C2" w:rsidRPr="00BF2058">
              <w:rPr>
                <w:rFonts w:ascii="Manrope" w:eastAsia="Arial Unicode MS" w:hAnsi="Manrope" w:cs="Arial Unicode MS"/>
                <w:sz w:val="18"/>
                <w:szCs w:val="18"/>
              </w:rPr>
              <w:t xml:space="preserve"> </w:t>
            </w:r>
          </w:p>
          <w:p w14:paraId="04027BDA" w14:textId="48F0CF2A" w:rsidR="00ED2B7D" w:rsidRPr="00BF2058" w:rsidRDefault="00A84846" w:rsidP="0064262B">
            <w:pPr>
              <w:spacing w:before="120" w:after="120"/>
              <w:rPr>
                <w:rFonts w:ascii="Manrope" w:eastAsia="Arial Unicode MS" w:hAnsi="Manrope" w:cs="Arial Unicode MS"/>
                <w:sz w:val="18"/>
                <w:szCs w:val="18"/>
              </w:rPr>
            </w:pPr>
            <w:r w:rsidRPr="00BF2058">
              <w:rPr>
                <w:rFonts w:ascii="Manrope" w:hAnsi="Manrope"/>
                <w:color w:val="000000"/>
                <w:sz w:val="18"/>
                <w:szCs w:val="18"/>
              </w:rPr>
              <w:t xml:space="preserve">Hodnota investice za uvedenou dobu držení </w:t>
            </w:r>
            <w:r w:rsidR="003F650C" w:rsidRPr="00BF2058">
              <w:rPr>
                <w:rFonts w:ascii="Manrope" w:eastAsia="Arial Unicode MS" w:hAnsi="Manrope" w:cs="Arial Unicode MS"/>
                <w:b/>
                <w:sz w:val="18"/>
                <w:szCs w:val="18"/>
              </w:rPr>
              <w:t xml:space="preserve"> </w:t>
            </w:r>
            <w:sdt>
              <w:sdtPr>
                <w:rPr>
                  <w:rFonts w:ascii="Manrope" w:eastAsia="Arial Unicode MS" w:hAnsi="Manrope" w:cs="Arial Unicode MS"/>
                  <w:b/>
                  <w:sz w:val="18"/>
                  <w:szCs w:val="18"/>
                </w:rPr>
                <w:id w:val="1231341699"/>
                <w:placeholder>
                  <w:docPart w:val="F6FA081A50DC4CCCBBBC3055EFED8A43"/>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8"/>
                    <w:szCs w:val="18"/>
                  </w:rPr>
                  <w:t>1 000 000 CZK</w:t>
                </w:r>
              </w:sdtContent>
            </w:sdt>
            <w:r w:rsidRPr="00BF2058">
              <w:rPr>
                <w:rFonts w:ascii="Manrope" w:hAnsi="Manrope"/>
                <w:color w:val="000000"/>
                <w:sz w:val="18"/>
                <w:szCs w:val="18"/>
              </w:rPr>
              <w:t>, předpokládané průměrné roční zhodnocení v %.</w:t>
            </w:r>
          </w:p>
          <w:tbl>
            <w:tblPr>
              <w:tblW w:w="4990" w:type="pct"/>
              <w:tblCellMar>
                <w:left w:w="70" w:type="dxa"/>
                <w:right w:w="70" w:type="dxa"/>
              </w:tblCellMar>
              <w:tblLook w:val="04A0" w:firstRow="1" w:lastRow="0" w:firstColumn="1" w:lastColumn="0" w:noHBand="0" w:noVBand="1"/>
            </w:tblPr>
            <w:tblGrid>
              <w:gridCol w:w="1634"/>
              <w:gridCol w:w="2339"/>
              <w:gridCol w:w="2244"/>
              <w:gridCol w:w="11"/>
              <w:gridCol w:w="2129"/>
              <w:gridCol w:w="2267"/>
            </w:tblGrid>
            <w:tr w:rsidR="00E562A5" w:rsidRPr="00BF2058" w14:paraId="2F69BDCA" w14:textId="77777777" w:rsidTr="000B314C">
              <w:trPr>
                <w:trHeight w:val="300"/>
              </w:trPr>
              <w:tc>
                <w:tcPr>
                  <w:tcW w:w="769" w:type="pct"/>
                  <w:tcBorders>
                    <w:top w:val="single" w:sz="8" w:space="0" w:color="A6A6A6" w:themeColor="background1" w:themeShade="A6"/>
                    <w:left w:val="single" w:sz="8" w:space="0" w:color="A6A6A6" w:themeColor="background1" w:themeShade="A6"/>
                    <w:bottom w:val="dotted" w:sz="4" w:space="0" w:color="auto"/>
                    <w:right w:val="dotted" w:sz="4" w:space="0" w:color="auto"/>
                  </w:tcBorders>
                  <w:shd w:val="clear" w:color="000000" w:fill="D9D9D9"/>
                  <w:noWrap/>
                  <w:vAlign w:val="center"/>
                  <w:hideMark/>
                </w:tcPr>
                <w:p w14:paraId="6E561CE1" w14:textId="77777777" w:rsidR="009A46C2" w:rsidRPr="00BF2058" w:rsidRDefault="009A46C2" w:rsidP="003A44DB">
                  <w:pPr>
                    <w:framePr w:hSpace="141" w:wrap="around" w:vAnchor="text" w:hAnchor="text" w:y="1"/>
                    <w:suppressOverlap/>
                    <w:jc w:val="center"/>
                    <w:rPr>
                      <w:rFonts w:ascii="Manrope" w:hAnsi="Manrope"/>
                      <w:bCs/>
                      <w:color w:val="000000"/>
                      <w:sz w:val="16"/>
                      <w:szCs w:val="16"/>
                      <w:lang w:eastAsia="cs-CZ"/>
                    </w:rPr>
                  </w:pPr>
                  <w:r w:rsidRPr="00BF2058">
                    <w:rPr>
                      <w:rFonts w:ascii="Manrope" w:hAnsi="Manrope"/>
                      <w:bCs/>
                      <w:color w:val="000000"/>
                      <w:sz w:val="16"/>
                      <w:szCs w:val="16"/>
                      <w:lang w:eastAsia="cs-CZ"/>
                    </w:rPr>
                    <w:t>Počet let:</w:t>
                  </w:r>
                </w:p>
              </w:tc>
              <w:tc>
                <w:tcPr>
                  <w:tcW w:w="1101" w:type="pct"/>
                  <w:tcBorders>
                    <w:top w:val="single" w:sz="8" w:space="0" w:color="A6A6A6" w:themeColor="background1" w:themeShade="A6"/>
                    <w:left w:val="dotted" w:sz="4" w:space="0" w:color="auto"/>
                    <w:bottom w:val="dotted" w:sz="4" w:space="0" w:color="auto"/>
                    <w:right w:val="dotted" w:sz="4" w:space="0" w:color="auto"/>
                  </w:tcBorders>
                  <w:shd w:val="clear" w:color="000000" w:fill="D9D9D9"/>
                  <w:vAlign w:val="center"/>
                </w:tcPr>
                <w:p w14:paraId="0C885B9E" w14:textId="48E3F7AF" w:rsidR="009A46C2" w:rsidRPr="00BF2058" w:rsidRDefault="003A44DB" w:rsidP="003A44DB">
                  <w:pPr>
                    <w:framePr w:hSpace="141" w:wrap="around" w:vAnchor="text" w:hAnchor="text" w:y="1"/>
                    <w:suppressOverlap/>
                    <w:jc w:val="center"/>
                    <w:rPr>
                      <w:rFonts w:ascii="Manrope" w:hAnsi="Manrope" w:cs="Calibri"/>
                      <w:color w:val="000000"/>
                      <w:sz w:val="16"/>
                      <w:szCs w:val="16"/>
                    </w:rPr>
                  </w:pPr>
                  <w:sdt>
                    <w:sdtPr>
                      <w:rPr>
                        <w:rFonts w:ascii="Manrope" w:eastAsia="Arial Unicode MS" w:hAnsi="Manrope" w:cs="Arial Unicode MS"/>
                        <w:b/>
                        <w:sz w:val="16"/>
                        <w:szCs w:val="16"/>
                      </w:rPr>
                      <w:id w:val="764506441"/>
                      <w:placeholder>
                        <w:docPart w:val="CA39DE51586946CB9B2D0324F2DB68E7"/>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6"/>
                          <w:szCs w:val="16"/>
                        </w:rPr>
                        <w:t>1 000 000 CZK</w:t>
                      </w:r>
                    </w:sdtContent>
                  </w:sdt>
                </w:p>
              </w:tc>
              <w:tc>
                <w:tcPr>
                  <w:tcW w:w="1056" w:type="pct"/>
                  <w:tcBorders>
                    <w:top w:val="single" w:sz="8" w:space="0" w:color="A6A6A6" w:themeColor="background1" w:themeShade="A6"/>
                    <w:left w:val="dotted" w:sz="4" w:space="0" w:color="auto"/>
                    <w:bottom w:val="dotted" w:sz="4" w:space="0" w:color="auto"/>
                    <w:right w:val="dotted" w:sz="4" w:space="0" w:color="auto"/>
                  </w:tcBorders>
                  <w:shd w:val="clear" w:color="000000" w:fill="D9D9D9"/>
                  <w:noWrap/>
                  <w:vAlign w:val="center"/>
                  <w:hideMark/>
                </w:tcPr>
                <w:p w14:paraId="789ED6E6" w14:textId="0C289928" w:rsidR="009A46C2" w:rsidRPr="00BF2058" w:rsidRDefault="009A46C2" w:rsidP="003A44DB">
                  <w:pPr>
                    <w:framePr w:hSpace="141" w:wrap="around" w:vAnchor="text" w:hAnchor="text" w:y="1"/>
                    <w:suppressOverlap/>
                    <w:jc w:val="center"/>
                    <w:rPr>
                      <w:rFonts w:ascii="Manrope" w:hAnsi="Manrope"/>
                      <w:color w:val="000000"/>
                      <w:sz w:val="16"/>
                      <w:szCs w:val="16"/>
                      <w:lang w:eastAsia="cs-CZ"/>
                    </w:rPr>
                  </w:pPr>
                  <w:r w:rsidRPr="00BF2058">
                    <w:rPr>
                      <w:rFonts w:ascii="Manrope" w:hAnsi="Manrope" w:cs="Calibri"/>
                      <w:color w:val="000000"/>
                      <w:sz w:val="16"/>
                      <w:szCs w:val="16"/>
                    </w:rPr>
                    <w:t>1</w:t>
                  </w:r>
                </w:p>
              </w:tc>
              <w:tc>
                <w:tcPr>
                  <w:tcW w:w="1007" w:type="pct"/>
                  <w:gridSpan w:val="2"/>
                  <w:tcBorders>
                    <w:top w:val="single" w:sz="8" w:space="0" w:color="A6A6A6" w:themeColor="background1" w:themeShade="A6"/>
                    <w:left w:val="dotted" w:sz="4" w:space="0" w:color="auto"/>
                    <w:bottom w:val="dotted" w:sz="4" w:space="0" w:color="auto"/>
                    <w:right w:val="dotted" w:sz="4" w:space="0" w:color="auto"/>
                  </w:tcBorders>
                  <w:shd w:val="clear" w:color="000000" w:fill="D9D9D9"/>
                  <w:noWrap/>
                  <w:vAlign w:val="center"/>
                  <w:hideMark/>
                </w:tcPr>
                <w:p w14:paraId="00A73CCE" w14:textId="2514514A" w:rsidR="009A46C2" w:rsidRPr="00BF2058" w:rsidRDefault="003A44DB" w:rsidP="003A44DB">
                  <w:pPr>
                    <w:framePr w:hSpace="141" w:wrap="around" w:vAnchor="text" w:hAnchor="text" w:y="1"/>
                    <w:suppressOverlap/>
                    <w:jc w:val="center"/>
                    <w:rPr>
                      <w:rFonts w:ascii="Manrope" w:hAnsi="Manrope"/>
                      <w:color w:val="000000"/>
                      <w:sz w:val="16"/>
                      <w:szCs w:val="16"/>
                      <w:lang w:eastAsia="cs-CZ"/>
                    </w:rPr>
                  </w:pPr>
                  <w:sdt>
                    <w:sdtPr>
                      <w:rPr>
                        <w:rFonts w:ascii="Manrope" w:eastAsia="Arial Unicode MS" w:hAnsi="Manrope" w:cs="Arial Unicode MS"/>
                        <w:sz w:val="16"/>
                        <w:szCs w:val="16"/>
                      </w:rPr>
                      <w:id w:val="1446806028"/>
                      <w:placeholder>
                        <w:docPart w:val="B76D5FA3E4574CBBB7FDE4BF7C02D97A"/>
                      </w:placeholder>
                      <w:dropDownList>
                        <w:listItem w:value="Zvolte položku."/>
                        <w:listItem w:displayText="2" w:value="2"/>
                        <w:listItem w:displayText="3" w:value="3"/>
                        <w:listItem w:displayText="4" w:value="4"/>
                        <w:listItem w:displayText="5" w:value="5"/>
                        <w:listItem w:displayText="6" w:value="6"/>
                        <w:listItem w:displayText="7" w:value="7"/>
                      </w:dropDownList>
                    </w:sdtPr>
                    <w:sdtEndPr/>
                    <w:sdtContent>
                      <w:r w:rsidR="004D2C1F">
                        <w:rPr>
                          <w:rFonts w:ascii="Manrope" w:eastAsia="Arial Unicode MS" w:hAnsi="Manrope" w:cs="Arial Unicode MS"/>
                          <w:sz w:val="16"/>
                          <w:szCs w:val="16"/>
                        </w:rPr>
                        <w:t>3</w:t>
                      </w:r>
                    </w:sdtContent>
                  </w:sdt>
                </w:p>
              </w:tc>
              <w:tc>
                <w:tcPr>
                  <w:tcW w:w="1067" w:type="pct"/>
                  <w:tcBorders>
                    <w:top w:val="single" w:sz="8" w:space="0" w:color="A6A6A6" w:themeColor="background1" w:themeShade="A6"/>
                    <w:left w:val="dotted" w:sz="4" w:space="0" w:color="auto"/>
                    <w:bottom w:val="dotted" w:sz="4" w:space="0" w:color="auto"/>
                    <w:right w:val="single" w:sz="8" w:space="0" w:color="A6A6A6" w:themeColor="background1" w:themeShade="A6"/>
                  </w:tcBorders>
                  <w:shd w:val="clear" w:color="000000" w:fill="D9D9D9"/>
                  <w:noWrap/>
                  <w:vAlign w:val="center"/>
                  <w:hideMark/>
                </w:tcPr>
                <w:p w14:paraId="2AD45911" w14:textId="08F6D984" w:rsidR="009A46C2" w:rsidRPr="00BF2058" w:rsidRDefault="003A44DB" w:rsidP="003A44DB">
                  <w:pPr>
                    <w:framePr w:hSpace="141" w:wrap="around" w:vAnchor="text" w:hAnchor="text" w:y="1"/>
                    <w:suppressOverlap/>
                    <w:jc w:val="center"/>
                    <w:rPr>
                      <w:rFonts w:ascii="Manrope" w:hAnsi="Manrope"/>
                      <w:color w:val="000000"/>
                      <w:sz w:val="16"/>
                      <w:szCs w:val="16"/>
                      <w:lang w:eastAsia="cs-CZ"/>
                    </w:rPr>
                  </w:pPr>
                  <w:sdt>
                    <w:sdtPr>
                      <w:rPr>
                        <w:rFonts w:ascii="Manrope" w:eastAsia="Arial Unicode MS" w:hAnsi="Manrope" w:cs="Arial Unicode MS"/>
                        <w:bCs/>
                        <w:sz w:val="16"/>
                        <w:szCs w:val="16"/>
                      </w:rPr>
                      <w:id w:val="-263615773"/>
                      <w:placeholder>
                        <w:docPart w:val="BE079C109BB14A8EAF6CE86122A4D4AB"/>
                      </w:placeholder>
                      <w:dropDownList>
                        <w:listItem w:value="Zvolte položku."/>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4D2C1F">
                        <w:rPr>
                          <w:rFonts w:ascii="Manrope" w:eastAsia="Arial Unicode MS" w:hAnsi="Manrope" w:cs="Arial Unicode MS"/>
                          <w:bCs/>
                          <w:sz w:val="16"/>
                          <w:szCs w:val="16"/>
                        </w:rPr>
                        <w:t>5</w:t>
                      </w:r>
                    </w:sdtContent>
                  </w:sdt>
                  <w:r w:rsidR="002C4B6E" w:rsidRPr="00BF2058">
                    <w:rPr>
                      <w:rFonts w:ascii="Manrope" w:hAnsi="Manrope" w:cs="Calibri"/>
                      <w:color w:val="000000"/>
                      <w:sz w:val="16"/>
                      <w:szCs w:val="16"/>
                    </w:rPr>
                    <w:t xml:space="preserve"> </w:t>
                  </w:r>
                  <w:r w:rsidR="00796F86" w:rsidRPr="00BF2058">
                    <w:rPr>
                      <w:rFonts w:ascii="Manrope" w:hAnsi="Manrope" w:cs="Calibri"/>
                      <w:color w:val="000000"/>
                      <w:sz w:val="16"/>
                      <w:szCs w:val="16"/>
                    </w:rPr>
                    <w:t xml:space="preserve"> </w:t>
                  </w:r>
                  <w:r w:rsidR="00796F86" w:rsidRPr="00BF2058">
                    <w:rPr>
                      <w:rFonts w:ascii="Manrope" w:hAnsi="Manrope" w:cs="Calibri"/>
                      <w:sz w:val="16"/>
                      <w:szCs w:val="16"/>
                    </w:rPr>
                    <w:t>(doporučená doba držení)</w:t>
                  </w:r>
                </w:p>
              </w:tc>
            </w:tr>
            <w:tr w:rsidR="00173C39" w:rsidRPr="00BF2058" w14:paraId="456EBC2D" w14:textId="77777777" w:rsidTr="000B314C">
              <w:trPr>
                <w:trHeight w:val="336"/>
              </w:trPr>
              <w:tc>
                <w:tcPr>
                  <w:tcW w:w="769" w:type="pct"/>
                  <w:tcBorders>
                    <w:top w:val="dotted" w:sz="4" w:space="0" w:color="auto"/>
                    <w:left w:val="single" w:sz="8" w:space="0" w:color="A6A6A6" w:themeColor="background1" w:themeShade="A6"/>
                    <w:bottom w:val="dotted" w:sz="4" w:space="0" w:color="auto"/>
                    <w:right w:val="dotted" w:sz="4" w:space="0" w:color="auto"/>
                  </w:tcBorders>
                  <w:shd w:val="clear" w:color="auto" w:fill="D0CECE" w:themeFill="background2" w:themeFillShade="E6"/>
                  <w:noWrap/>
                  <w:vAlign w:val="center"/>
                </w:tcPr>
                <w:p w14:paraId="7486E8C6" w14:textId="4435EC0E" w:rsidR="00173C39" w:rsidRPr="00BF2058" w:rsidRDefault="00173C39" w:rsidP="003A44DB">
                  <w:pPr>
                    <w:framePr w:hSpace="141" w:wrap="around" w:vAnchor="text" w:hAnchor="text" w:y="1"/>
                    <w:suppressOverlap/>
                    <w:jc w:val="center"/>
                    <w:rPr>
                      <w:rFonts w:ascii="Manrope" w:hAnsi="Manrope"/>
                      <w:color w:val="000000"/>
                      <w:sz w:val="16"/>
                      <w:szCs w:val="16"/>
                      <w:lang w:eastAsia="cs-CZ"/>
                    </w:rPr>
                  </w:pPr>
                  <w:r w:rsidRPr="00BF2058">
                    <w:rPr>
                      <w:rFonts w:ascii="Manrope" w:hAnsi="Manrope"/>
                      <w:color w:val="000000"/>
                      <w:sz w:val="16"/>
                      <w:szCs w:val="16"/>
                      <w:lang w:eastAsia="cs-CZ"/>
                    </w:rPr>
                    <w:t>Scénáře</w:t>
                  </w:r>
                </w:p>
              </w:tc>
              <w:tc>
                <w:tcPr>
                  <w:tcW w:w="1101" w:type="pct"/>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628760" w14:textId="77777777" w:rsidR="00173C39" w:rsidRPr="00BF2058" w:rsidRDefault="00173C39" w:rsidP="003A44DB">
                  <w:pPr>
                    <w:framePr w:hSpace="141" w:wrap="around" w:vAnchor="text" w:hAnchor="text" w:y="1"/>
                    <w:suppressOverlap/>
                    <w:jc w:val="center"/>
                    <w:rPr>
                      <w:rFonts w:ascii="Manrope" w:hAnsi="Manrope"/>
                      <w:color w:val="000000"/>
                      <w:sz w:val="16"/>
                      <w:szCs w:val="16"/>
                    </w:rPr>
                  </w:pPr>
                </w:p>
              </w:tc>
              <w:tc>
                <w:tcPr>
                  <w:tcW w:w="1061" w:type="pct"/>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769CEA03" w14:textId="662F65D5" w:rsidR="00173C39" w:rsidRPr="00BF2058" w:rsidRDefault="00173C39"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c>
                <w:tcPr>
                  <w:tcW w:w="1002" w:type="pct"/>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7F897E67" w14:textId="620E3CAD" w:rsidR="00173C39" w:rsidRPr="00BF2058" w:rsidRDefault="00173C39"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c>
                <w:tcPr>
                  <w:tcW w:w="1067" w:type="pct"/>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5169037A" w14:textId="1A8E82DB" w:rsidR="00173C39" w:rsidRPr="00BF2058" w:rsidRDefault="00173C39"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r>
            <w:tr w:rsidR="00261B60" w:rsidRPr="00BF2058" w14:paraId="052F2808" w14:textId="77777777" w:rsidTr="00F77CC8">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tcPr>
                <w:p w14:paraId="6383467E" w14:textId="1887EA5B"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Stresový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602F6FCE" w14:textId="667642B3"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nil"/>
                    <w:left w:val="nil"/>
                    <w:bottom w:val="dotted" w:sz="4" w:space="0" w:color="auto"/>
                    <w:right w:val="dotted" w:sz="4" w:space="0" w:color="auto"/>
                  </w:tcBorders>
                  <w:shd w:val="clear" w:color="auto" w:fill="auto"/>
                  <w:noWrap/>
                  <w:vAlign w:val="center"/>
                </w:tcPr>
                <w:p w14:paraId="3E3438AC" w14:textId="1CAEF979"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 Kč</w:t>
                  </w:r>
                </w:p>
              </w:tc>
              <w:tc>
                <w:tcPr>
                  <w:tcW w:w="1002" w:type="pct"/>
                  <w:tcBorders>
                    <w:top w:val="nil"/>
                    <w:left w:val="nil"/>
                    <w:bottom w:val="dotted" w:sz="4" w:space="0" w:color="auto"/>
                    <w:right w:val="dotted" w:sz="4" w:space="0" w:color="auto"/>
                  </w:tcBorders>
                  <w:shd w:val="clear" w:color="auto" w:fill="auto"/>
                  <w:noWrap/>
                  <w:vAlign w:val="center"/>
                </w:tcPr>
                <w:p w14:paraId="61EE462A" w14:textId="0652D167"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0 Kč</w:t>
                  </w:r>
                </w:p>
              </w:tc>
              <w:tc>
                <w:tcPr>
                  <w:tcW w:w="1067" w:type="pct"/>
                  <w:tcBorders>
                    <w:top w:val="nil"/>
                    <w:left w:val="nil"/>
                    <w:bottom w:val="dotted" w:sz="4" w:space="0" w:color="auto"/>
                    <w:right w:val="dotted" w:sz="4" w:space="0" w:color="auto"/>
                  </w:tcBorders>
                  <w:shd w:val="clear" w:color="auto" w:fill="auto"/>
                  <w:noWrap/>
                  <w:vAlign w:val="center"/>
                </w:tcPr>
                <w:p w14:paraId="54174BC8" w14:textId="296AF106"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0 Kč</w:t>
                  </w:r>
                </w:p>
              </w:tc>
            </w:tr>
            <w:tr w:rsidR="00261B60" w:rsidRPr="00BF2058" w14:paraId="51E7F0AB" w14:textId="77777777" w:rsidTr="00F77CC8">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0259C709"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522801EA" w14:textId="61E9B626"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nil"/>
                    <w:left w:val="nil"/>
                    <w:bottom w:val="dotted" w:sz="4" w:space="0" w:color="auto"/>
                    <w:right w:val="dotted" w:sz="4" w:space="0" w:color="auto"/>
                  </w:tcBorders>
                  <w:shd w:val="clear" w:color="auto" w:fill="auto"/>
                  <w:noWrap/>
                  <w:vAlign w:val="center"/>
                </w:tcPr>
                <w:p w14:paraId="49354876" w14:textId="1500E4F4"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-100</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02" w:type="pct"/>
                  <w:tcBorders>
                    <w:top w:val="nil"/>
                    <w:left w:val="nil"/>
                    <w:bottom w:val="dotted" w:sz="4" w:space="0" w:color="auto"/>
                    <w:right w:val="dotted" w:sz="4" w:space="0" w:color="auto"/>
                  </w:tcBorders>
                  <w:shd w:val="clear" w:color="auto" w:fill="auto"/>
                  <w:noWrap/>
                  <w:vAlign w:val="center"/>
                </w:tcPr>
                <w:p w14:paraId="04E32A26" w14:textId="39091C70"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-100</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67" w:type="pct"/>
                  <w:tcBorders>
                    <w:top w:val="nil"/>
                    <w:left w:val="nil"/>
                    <w:bottom w:val="dotted" w:sz="4" w:space="0" w:color="auto"/>
                    <w:right w:val="single" w:sz="8" w:space="0" w:color="A6A6A6"/>
                  </w:tcBorders>
                  <w:shd w:val="clear" w:color="auto" w:fill="auto"/>
                  <w:noWrap/>
                  <w:vAlign w:val="center"/>
                </w:tcPr>
                <w:p w14:paraId="10D427CB" w14:textId="5FB45153"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-100</w:t>
                  </w:r>
                  <w:r>
                    <w:rPr>
                      <w:rFonts w:ascii="Manrope" w:hAnsi="Manrope" w:cs="Calibri"/>
                      <w:color w:val="000000"/>
                      <w:sz w:val="18"/>
                      <w:szCs w:val="18"/>
                    </w:rPr>
                    <w:t xml:space="preserve"> </w:t>
                  </w:r>
                  <w:r w:rsidRPr="00261B60">
                    <w:rPr>
                      <w:rFonts w:ascii="Manrope" w:hAnsi="Manrope" w:cs="Calibri"/>
                      <w:color w:val="000000"/>
                      <w:sz w:val="18"/>
                      <w:szCs w:val="18"/>
                    </w:rPr>
                    <w:t>%</w:t>
                  </w:r>
                </w:p>
              </w:tc>
            </w:tr>
            <w:tr w:rsidR="00261B60" w:rsidRPr="00BF2058" w14:paraId="7B68DFEC" w14:textId="77777777" w:rsidTr="00F77CC8">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06A2C0D8"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Nepříznivý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6525F715" w14:textId="100C6F41"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nil"/>
                    <w:left w:val="nil"/>
                    <w:bottom w:val="dotted" w:sz="4" w:space="0" w:color="auto"/>
                    <w:right w:val="dotted" w:sz="4" w:space="0" w:color="auto"/>
                  </w:tcBorders>
                  <w:shd w:val="clear" w:color="auto" w:fill="auto"/>
                  <w:noWrap/>
                  <w:vAlign w:val="center"/>
                </w:tcPr>
                <w:p w14:paraId="2CCCE11E" w14:textId="2A3753A8"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342 000 Kč</w:t>
                  </w:r>
                </w:p>
              </w:tc>
              <w:tc>
                <w:tcPr>
                  <w:tcW w:w="1002" w:type="pct"/>
                  <w:tcBorders>
                    <w:top w:val="nil"/>
                    <w:left w:val="nil"/>
                    <w:bottom w:val="dotted" w:sz="4" w:space="0" w:color="auto"/>
                    <w:right w:val="dotted" w:sz="4" w:space="0" w:color="auto"/>
                  </w:tcBorders>
                  <w:shd w:val="clear" w:color="auto" w:fill="auto"/>
                  <w:noWrap/>
                  <w:vAlign w:val="center"/>
                </w:tcPr>
                <w:p w14:paraId="51E5D0BD" w14:textId="073D99D3"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184 680 Kč</w:t>
                  </w:r>
                </w:p>
              </w:tc>
              <w:tc>
                <w:tcPr>
                  <w:tcW w:w="1067" w:type="pct"/>
                  <w:tcBorders>
                    <w:top w:val="nil"/>
                    <w:left w:val="nil"/>
                    <w:bottom w:val="dotted" w:sz="4" w:space="0" w:color="auto"/>
                    <w:right w:val="dotted" w:sz="4" w:space="0" w:color="auto"/>
                  </w:tcBorders>
                  <w:shd w:val="clear" w:color="auto" w:fill="auto"/>
                  <w:noWrap/>
                  <w:vAlign w:val="center"/>
                </w:tcPr>
                <w:p w14:paraId="417CFF8E" w14:textId="611C5277"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73 872 Kč</w:t>
                  </w:r>
                </w:p>
              </w:tc>
            </w:tr>
            <w:tr w:rsidR="00261B60" w:rsidRPr="00BF2058" w14:paraId="6862988A" w14:textId="77777777" w:rsidTr="00F77CC8">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48F514E7"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0F47ED59" w14:textId="4814C357"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nil"/>
                    <w:left w:val="nil"/>
                    <w:bottom w:val="dotted" w:sz="4" w:space="0" w:color="auto"/>
                    <w:right w:val="dotted" w:sz="4" w:space="0" w:color="auto"/>
                  </w:tcBorders>
                  <w:shd w:val="clear" w:color="auto" w:fill="auto"/>
                  <w:noWrap/>
                  <w:vAlign w:val="center"/>
                </w:tcPr>
                <w:p w14:paraId="7D2FB1DD" w14:textId="23A0BA4B"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-65,80</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02" w:type="pct"/>
                  <w:tcBorders>
                    <w:top w:val="nil"/>
                    <w:left w:val="nil"/>
                    <w:bottom w:val="dotted" w:sz="4" w:space="0" w:color="auto"/>
                    <w:right w:val="dotted" w:sz="4" w:space="0" w:color="auto"/>
                  </w:tcBorders>
                  <w:shd w:val="clear" w:color="auto" w:fill="auto"/>
                  <w:noWrap/>
                  <w:vAlign w:val="center"/>
                </w:tcPr>
                <w:p w14:paraId="615C98C6" w14:textId="68179141"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-43,05</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67" w:type="pct"/>
                  <w:tcBorders>
                    <w:top w:val="nil"/>
                    <w:left w:val="nil"/>
                    <w:bottom w:val="dotted" w:sz="4" w:space="0" w:color="auto"/>
                    <w:right w:val="single" w:sz="8" w:space="0" w:color="A6A6A6"/>
                  </w:tcBorders>
                  <w:shd w:val="clear" w:color="auto" w:fill="auto"/>
                  <w:noWrap/>
                  <w:vAlign w:val="center"/>
                </w:tcPr>
                <w:p w14:paraId="03B56D29" w14:textId="6B2C6BCA"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-40,61</w:t>
                  </w:r>
                  <w:r>
                    <w:rPr>
                      <w:rFonts w:ascii="Manrope" w:hAnsi="Manrope" w:cs="Calibri"/>
                      <w:color w:val="000000"/>
                      <w:sz w:val="18"/>
                      <w:szCs w:val="18"/>
                    </w:rPr>
                    <w:t xml:space="preserve"> </w:t>
                  </w:r>
                  <w:r w:rsidRPr="00261B60">
                    <w:rPr>
                      <w:rFonts w:ascii="Manrope" w:hAnsi="Manrope" w:cs="Calibri"/>
                      <w:color w:val="000000"/>
                      <w:sz w:val="18"/>
                      <w:szCs w:val="18"/>
                    </w:rPr>
                    <w:t>%</w:t>
                  </w:r>
                </w:p>
              </w:tc>
            </w:tr>
            <w:tr w:rsidR="00261B60" w:rsidRPr="00BF2058" w14:paraId="5ECE063D" w14:textId="77777777" w:rsidTr="00F77CC8">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01635B8C"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Umírněný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406B8E36" w14:textId="2339C53C"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nil"/>
                    <w:left w:val="nil"/>
                    <w:bottom w:val="dotted" w:sz="4" w:space="0" w:color="auto"/>
                    <w:right w:val="dotted" w:sz="4" w:space="0" w:color="auto"/>
                  </w:tcBorders>
                  <w:shd w:val="clear" w:color="auto" w:fill="auto"/>
                  <w:noWrap/>
                  <w:vAlign w:val="center"/>
                </w:tcPr>
                <w:p w14:paraId="5BBBB23F" w14:textId="0E5BE76F"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621 300 Kč</w:t>
                  </w:r>
                </w:p>
              </w:tc>
              <w:tc>
                <w:tcPr>
                  <w:tcW w:w="1002" w:type="pct"/>
                  <w:tcBorders>
                    <w:top w:val="nil"/>
                    <w:left w:val="nil"/>
                    <w:bottom w:val="dotted" w:sz="4" w:space="0" w:color="auto"/>
                    <w:right w:val="dotted" w:sz="4" w:space="0" w:color="auto"/>
                  </w:tcBorders>
                  <w:shd w:val="clear" w:color="auto" w:fill="auto"/>
                  <w:noWrap/>
                  <w:vAlign w:val="center"/>
                </w:tcPr>
                <w:p w14:paraId="2779870C" w14:textId="467B5D49"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1 107 250 Kč</w:t>
                  </w:r>
                </w:p>
              </w:tc>
              <w:tc>
                <w:tcPr>
                  <w:tcW w:w="1067" w:type="pct"/>
                  <w:tcBorders>
                    <w:top w:val="nil"/>
                    <w:left w:val="nil"/>
                    <w:bottom w:val="dotted" w:sz="4" w:space="0" w:color="auto"/>
                    <w:right w:val="dotted" w:sz="4" w:space="0" w:color="auto"/>
                  </w:tcBorders>
                  <w:shd w:val="clear" w:color="auto" w:fill="auto"/>
                  <w:noWrap/>
                  <w:vAlign w:val="center"/>
                </w:tcPr>
                <w:p w14:paraId="06A04293" w14:textId="479F0956"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1 461 693 Kč</w:t>
                  </w:r>
                </w:p>
              </w:tc>
            </w:tr>
            <w:tr w:rsidR="00261B60" w:rsidRPr="00BF2058" w14:paraId="71D247A8" w14:textId="77777777" w:rsidTr="00F77CC8">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48F2469B"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7CED97FB" w14:textId="7A505CF2"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nil"/>
                    <w:left w:val="nil"/>
                    <w:bottom w:val="dotted" w:sz="4" w:space="0" w:color="auto"/>
                    <w:right w:val="dotted" w:sz="4" w:space="0" w:color="auto"/>
                  </w:tcBorders>
                  <w:shd w:val="clear" w:color="auto" w:fill="auto"/>
                  <w:noWrap/>
                  <w:vAlign w:val="center"/>
                </w:tcPr>
                <w:p w14:paraId="118B9662" w14:textId="22A48C31"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-37,87</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02" w:type="pct"/>
                  <w:tcBorders>
                    <w:top w:val="nil"/>
                    <w:left w:val="nil"/>
                    <w:bottom w:val="dotted" w:sz="4" w:space="0" w:color="auto"/>
                    <w:right w:val="dotted" w:sz="4" w:space="0" w:color="auto"/>
                  </w:tcBorders>
                  <w:shd w:val="clear" w:color="auto" w:fill="auto"/>
                  <w:noWrap/>
                  <w:vAlign w:val="center"/>
                </w:tcPr>
                <w:p w14:paraId="42117930" w14:textId="271318A0"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3,45</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67" w:type="pct"/>
                  <w:tcBorders>
                    <w:top w:val="nil"/>
                    <w:left w:val="nil"/>
                    <w:bottom w:val="dotted" w:sz="4" w:space="0" w:color="auto"/>
                    <w:right w:val="single" w:sz="8" w:space="0" w:color="A6A6A6"/>
                  </w:tcBorders>
                  <w:shd w:val="clear" w:color="auto" w:fill="auto"/>
                  <w:noWrap/>
                  <w:vAlign w:val="center"/>
                </w:tcPr>
                <w:p w14:paraId="79F9FF59" w14:textId="223003EB"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7,89</w:t>
                  </w:r>
                  <w:r>
                    <w:rPr>
                      <w:rFonts w:ascii="Manrope" w:hAnsi="Manrope" w:cs="Calibri"/>
                      <w:color w:val="000000"/>
                      <w:sz w:val="18"/>
                      <w:szCs w:val="18"/>
                    </w:rPr>
                    <w:t xml:space="preserve"> </w:t>
                  </w:r>
                  <w:r w:rsidRPr="00261B60">
                    <w:rPr>
                      <w:rFonts w:ascii="Manrope" w:hAnsi="Manrope" w:cs="Calibri"/>
                      <w:color w:val="000000"/>
                      <w:sz w:val="18"/>
                      <w:szCs w:val="18"/>
                    </w:rPr>
                    <w:t>%</w:t>
                  </w:r>
                </w:p>
              </w:tc>
            </w:tr>
            <w:tr w:rsidR="00261B60" w:rsidRPr="00BF2058" w14:paraId="66424D26" w14:textId="77777777" w:rsidTr="00F77CC8">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20D24387"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Příznivý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28013DA5" w14:textId="7EFCCCF2"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nil"/>
                    <w:left w:val="nil"/>
                    <w:bottom w:val="dotted" w:sz="4" w:space="0" w:color="auto"/>
                    <w:right w:val="dotted" w:sz="4" w:space="0" w:color="auto"/>
                  </w:tcBorders>
                  <w:shd w:val="clear" w:color="auto" w:fill="auto"/>
                  <w:noWrap/>
                  <w:vAlign w:val="center"/>
                </w:tcPr>
                <w:p w14:paraId="3D756510" w14:textId="5DA22DF9"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638 400 Kč</w:t>
                  </w:r>
                </w:p>
              </w:tc>
              <w:tc>
                <w:tcPr>
                  <w:tcW w:w="1002" w:type="pct"/>
                  <w:tcBorders>
                    <w:top w:val="nil"/>
                    <w:left w:val="nil"/>
                    <w:bottom w:val="dotted" w:sz="4" w:space="0" w:color="auto"/>
                    <w:right w:val="dotted" w:sz="4" w:space="0" w:color="auto"/>
                  </w:tcBorders>
                  <w:shd w:val="clear" w:color="auto" w:fill="auto"/>
                  <w:noWrap/>
                  <w:vAlign w:val="center"/>
                </w:tcPr>
                <w:p w14:paraId="7C427744" w14:textId="441869E1"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1 201 213 Kč</w:t>
                  </w:r>
                </w:p>
              </w:tc>
              <w:tc>
                <w:tcPr>
                  <w:tcW w:w="1067" w:type="pct"/>
                  <w:tcBorders>
                    <w:top w:val="nil"/>
                    <w:left w:val="nil"/>
                    <w:bottom w:val="dotted" w:sz="4" w:space="0" w:color="auto"/>
                    <w:right w:val="dotted" w:sz="4" w:space="0" w:color="auto"/>
                  </w:tcBorders>
                  <w:shd w:val="clear" w:color="auto" w:fill="auto"/>
                  <w:noWrap/>
                  <w:vAlign w:val="center"/>
                </w:tcPr>
                <w:p w14:paraId="4DACC1B4" w14:textId="3AA48205"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1 674 225 Kč</w:t>
                  </w:r>
                </w:p>
              </w:tc>
            </w:tr>
            <w:tr w:rsidR="00261B60" w:rsidRPr="00BF2058" w14:paraId="0978B8F2" w14:textId="77777777" w:rsidTr="00F77CC8">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7919C824" w14:textId="77777777" w:rsidR="00261B60" w:rsidRPr="002275A5" w:rsidRDefault="00261B60" w:rsidP="003A44D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5E7D5AAB" w14:textId="434F56C0" w:rsidR="00261B60" w:rsidRPr="002275A5" w:rsidRDefault="00261B60" w:rsidP="003A44D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nil"/>
                    <w:left w:val="nil"/>
                    <w:bottom w:val="single" w:sz="8" w:space="0" w:color="A6A6A6"/>
                    <w:right w:val="dotted" w:sz="4" w:space="0" w:color="auto"/>
                  </w:tcBorders>
                  <w:shd w:val="clear" w:color="auto" w:fill="auto"/>
                  <w:noWrap/>
                  <w:vAlign w:val="center"/>
                </w:tcPr>
                <w:p w14:paraId="6D200B7B" w14:textId="1DA2F404"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-36,16</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02" w:type="pct"/>
                  <w:tcBorders>
                    <w:top w:val="nil"/>
                    <w:left w:val="nil"/>
                    <w:bottom w:val="single" w:sz="8" w:space="0" w:color="A6A6A6"/>
                    <w:right w:val="dotted" w:sz="4" w:space="0" w:color="auto"/>
                  </w:tcBorders>
                  <w:shd w:val="clear" w:color="auto" w:fill="auto"/>
                  <w:noWrap/>
                  <w:vAlign w:val="center"/>
                </w:tcPr>
                <w:p w14:paraId="27EE14FA" w14:textId="0F780A7C"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6,30</w:t>
                  </w:r>
                  <w:r>
                    <w:rPr>
                      <w:rFonts w:ascii="Manrope" w:hAnsi="Manrope" w:cs="Calibri"/>
                      <w:color w:val="000000"/>
                      <w:sz w:val="18"/>
                      <w:szCs w:val="18"/>
                    </w:rPr>
                    <w:t xml:space="preserve"> </w:t>
                  </w:r>
                  <w:r w:rsidRPr="00261B60">
                    <w:rPr>
                      <w:rFonts w:ascii="Manrope" w:hAnsi="Manrope" w:cs="Calibri"/>
                      <w:color w:val="000000"/>
                      <w:sz w:val="18"/>
                      <w:szCs w:val="18"/>
                    </w:rPr>
                    <w:t>%</w:t>
                  </w:r>
                </w:p>
              </w:tc>
              <w:tc>
                <w:tcPr>
                  <w:tcW w:w="1067" w:type="pct"/>
                  <w:tcBorders>
                    <w:top w:val="nil"/>
                    <w:left w:val="nil"/>
                    <w:bottom w:val="single" w:sz="8" w:space="0" w:color="A6A6A6"/>
                    <w:right w:val="single" w:sz="8" w:space="0" w:color="A6A6A6"/>
                  </w:tcBorders>
                  <w:shd w:val="clear" w:color="auto" w:fill="auto"/>
                  <w:noWrap/>
                  <w:vAlign w:val="center"/>
                </w:tcPr>
                <w:p w14:paraId="7C55B337" w14:textId="0B36E009" w:rsidR="00261B60" w:rsidRPr="00261B60" w:rsidRDefault="00261B60" w:rsidP="003A44DB">
                  <w:pPr>
                    <w:framePr w:hSpace="141" w:wrap="around" w:vAnchor="text" w:hAnchor="text" w:y="1"/>
                    <w:suppressOverlap/>
                    <w:jc w:val="center"/>
                    <w:rPr>
                      <w:rFonts w:ascii="Manrope" w:hAnsi="Manrope"/>
                      <w:color w:val="000000"/>
                      <w:sz w:val="16"/>
                      <w:szCs w:val="16"/>
                    </w:rPr>
                  </w:pPr>
                  <w:r w:rsidRPr="00261B60">
                    <w:rPr>
                      <w:rFonts w:ascii="Manrope" w:hAnsi="Manrope" w:cs="Calibri"/>
                      <w:color w:val="000000"/>
                      <w:sz w:val="18"/>
                      <w:szCs w:val="18"/>
                    </w:rPr>
                    <w:t>10,86</w:t>
                  </w:r>
                  <w:r>
                    <w:rPr>
                      <w:rFonts w:ascii="Manrope" w:hAnsi="Manrope" w:cs="Calibri"/>
                      <w:color w:val="000000"/>
                      <w:sz w:val="18"/>
                      <w:szCs w:val="18"/>
                    </w:rPr>
                    <w:t xml:space="preserve"> </w:t>
                  </w:r>
                  <w:r w:rsidRPr="00261B60">
                    <w:rPr>
                      <w:rFonts w:ascii="Manrope" w:hAnsi="Manrope" w:cs="Calibri"/>
                      <w:color w:val="000000"/>
                      <w:sz w:val="18"/>
                      <w:szCs w:val="18"/>
                    </w:rPr>
                    <w:t>%</w:t>
                  </w:r>
                </w:p>
              </w:tc>
            </w:tr>
          </w:tbl>
          <w:p w14:paraId="128C4297" w14:textId="77777777" w:rsidR="005E094D" w:rsidRPr="00BF2058" w:rsidRDefault="00A93E5B" w:rsidP="0064262B">
            <w:pPr>
              <w:pStyle w:val="Odstavecseseznamem"/>
              <w:numPr>
                <w:ilvl w:val="0"/>
                <w:numId w:val="3"/>
              </w:numPr>
              <w:spacing w:before="40" w:after="40"/>
              <w:ind w:left="641" w:hanging="357"/>
              <w:rPr>
                <w:rFonts w:ascii="Manrope" w:hAnsi="Manrope" w:cstheme="minorHAnsi"/>
                <w:color w:val="000000"/>
                <w:sz w:val="18"/>
                <w:szCs w:val="18"/>
              </w:rPr>
            </w:pPr>
            <w:r w:rsidRPr="00BF2058">
              <w:rPr>
                <w:rFonts w:ascii="Manrope" w:hAnsi="Manrope" w:cstheme="minorHAnsi"/>
                <w:sz w:val="18"/>
                <w:szCs w:val="18"/>
              </w:rPr>
              <w:t>Tato tabulka uvádí peníze a procenta, které byste mohli získat zpět za příští roky podle různých scénářů za předpokladu, že investujete</w:t>
            </w:r>
          </w:p>
          <w:p w14:paraId="48AF8354" w14:textId="24A674E3" w:rsidR="00ED2B7D" w:rsidRPr="00BF2058" w:rsidRDefault="003A44DB" w:rsidP="005E094D">
            <w:pPr>
              <w:pStyle w:val="Odstavecseseznamem"/>
              <w:spacing w:before="40" w:after="40"/>
              <w:ind w:left="641"/>
              <w:rPr>
                <w:rFonts w:ascii="Manrope" w:hAnsi="Manrope" w:cstheme="minorHAnsi"/>
                <w:color w:val="000000"/>
                <w:sz w:val="18"/>
                <w:szCs w:val="18"/>
              </w:rPr>
            </w:pPr>
            <w:sdt>
              <w:sdtPr>
                <w:rPr>
                  <w:rFonts w:ascii="Manrope" w:eastAsia="Arial Unicode MS" w:hAnsi="Manrope" w:cs="Arial Unicode MS"/>
                  <w:b/>
                  <w:sz w:val="18"/>
                  <w:szCs w:val="18"/>
                </w:rPr>
                <w:id w:val="-2025395474"/>
                <w:placeholder>
                  <w:docPart w:val="0BC4B185156E4738926E486F8B48703E"/>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8"/>
                    <w:szCs w:val="18"/>
                  </w:rPr>
                  <w:t>1 000 000 CZK</w:t>
                </w:r>
              </w:sdtContent>
            </w:sdt>
            <w:r w:rsidR="00BC7B68" w:rsidRPr="00BF2058">
              <w:rPr>
                <w:rFonts w:ascii="Manrope" w:hAnsi="Manrope" w:cstheme="minorHAnsi"/>
                <w:color w:val="000000"/>
                <w:sz w:val="18"/>
                <w:szCs w:val="18"/>
              </w:rPr>
              <w:t>.</w:t>
            </w:r>
          </w:p>
          <w:p w14:paraId="1122DFF2" w14:textId="7FDB25C9" w:rsidR="00A93E5B" w:rsidRPr="00BF2058" w:rsidRDefault="00A93E5B" w:rsidP="0064262B">
            <w:pPr>
              <w:pStyle w:val="Odstavecseseznamem"/>
              <w:numPr>
                <w:ilvl w:val="0"/>
                <w:numId w:val="3"/>
              </w:numPr>
              <w:spacing w:before="40" w:after="40"/>
              <w:ind w:left="641" w:hanging="357"/>
              <w:rPr>
                <w:rFonts w:ascii="Manrope" w:hAnsi="Manrope" w:cstheme="minorHAnsi"/>
                <w:color w:val="000000"/>
                <w:sz w:val="18"/>
                <w:szCs w:val="18"/>
              </w:rPr>
            </w:pPr>
            <w:r w:rsidRPr="00BF2058">
              <w:rPr>
                <w:rFonts w:ascii="Manrope" w:hAnsi="Manrope" w:cstheme="minorHAnsi"/>
                <w:sz w:val="18"/>
                <w:szCs w:val="18"/>
              </w:rPr>
              <w:t>Uvedené scénáře ilustrují, jak by Vaše investice mohla fungovat. Můžete je porovnat se scénáři jiných produktů</w:t>
            </w:r>
            <w:r w:rsidR="00A84846" w:rsidRPr="00BF2058">
              <w:rPr>
                <w:rFonts w:ascii="Manrope" w:hAnsi="Manrope" w:cstheme="minorHAnsi"/>
                <w:sz w:val="18"/>
                <w:szCs w:val="18"/>
              </w:rPr>
              <w:t>.</w:t>
            </w:r>
          </w:p>
          <w:p w14:paraId="3EF8780E" w14:textId="0866A4D4" w:rsidR="00BC7B68" w:rsidRPr="00BF2058" w:rsidRDefault="00A93E5B" w:rsidP="003E14A0">
            <w:pPr>
              <w:pStyle w:val="Odstavecseseznamem"/>
              <w:numPr>
                <w:ilvl w:val="0"/>
                <w:numId w:val="3"/>
              </w:numPr>
              <w:spacing w:before="40" w:after="40"/>
              <w:ind w:left="641" w:hanging="357"/>
              <w:jc w:val="both"/>
              <w:rPr>
                <w:rFonts w:ascii="Manrope" w:hAnsi="Manrope" w:cstheme="minorHAnsi"/>
                <w:sz w:val="18"/>
                <w:szCs w:val="18"/>
              </w:rPr>
            </w:pPr>
            <w:r w:rsidRPr="00BF2058">
              <w:rPr>
                <w:rFonts w:ascii="Manrope" w:hAnsi="Manrope" w:cstheme="minorHAnsi"/>
                <w:sz w:val="18"/>
                <w:szCs w:val="18"/>
              </w:rPr>
              <w:t>Prezentované scénáře jsou odhadem budoucí výkonnosti založeným na důkazech z minulosti o tom, jak variuje hod</w:t>
            </w:r>
            <w:r w:rsidR="003D5DB3" w:rsidRPr="00BF2058">
              <w:rPr>
                <w:rFonts w:ascii="Manrope" w:hAnsi="Manrope" w:cstheme="minorHAnsi"/>
                <w:sz w:val="18"/>
                <w:szCs w:val="18"/>
              </w:rPr>
              <w:t>nota této investice, a nejsou př</w:t>
            </w:r>
            <w:r w:rsidRPr="00BF2058">
              <w:rPr>
                <w:rFonts w:ascii="Manrope" w:hAnsi="Manrope" w:cstheme="minorHAnsi"/>
                <w:sz w:val="18"/>
                <w:szCs w:val="18"/>
              </w:rPr>
              <w:t>esným ukaz</w:t>
            </w:r>
            <w:r w:rsidR="003D5DB3" w:rsidRPr="00BF2058">
              <w:rPr>
                <w:rFonts w:ascii="Manrope" w:hAnsi="Manrope" w:cstheme="minorHAnsi"/>
                <w:sz w:val="18"/>
                <w:szCs w:val="18"/>
              </w:rPr>
              <w:t>atelem. Co získáte, se bude liši</w:t>
            </w:r>
            <w:r w:rsidRPr="00BF2058">
              <w:rPr>
                <w:rFonts w:ascii="Manrope" w:hAnsi="Manrope" w:cstheme="minorHAnsi"/>
                <w:sz w:val="18"/>
                <w:szCs w:val="18"/>
              </w:rPr>
              <w:t>t v závislosti na tom, jak je trh výkonný a jak dlouho si investici/produkt ponecháte.</w:t>
            </w:r>
          </w:p>
          <w:p w14:paraId="52E0E293" w14:textId="77777777" w:rsidR="003D5DB3" w:rsidRPr="00BF2058" w:rsidRDefault="003D5DB3" w:rsidP="0064262B">
            <w:pPr>
              <w:pStyle w:val="Odstavecseseznamem"/>
              <w:numPr>
                <w:ilvl w:val="0"/>
                <w:numId w:val="3"/>
              </w:numPr>
              <w:spacing w:before="40" w:after="40"/>
              <w:ind w:left="641" w:hanging="357"/>
              <w:rPr>
                <w:rFonts w:ascii="Manrope" w:eastAsia="Arial Unicode MS" w:hAnsi="Manrope" w:cstheme="minorHAnsi"/>
                <w:sz w:val="18"/>
                <w:szCs w:val="18"/>
              </w:rPr>
            </w:pPr>
            <w:r w:rsidRPr="00BF2058">
              <w:rPr>
                <w:rFonts w:ascii="Manrope" w:eastAsia="Arial Unicode MS" w:hAnsi="Manrope" w:cs="Arial Unicode MS"/>
                <w:sz w:val="18"/>
                <w:szCs w:val="18"/>
              </w:rPr>
              <w:t>Stresový scénář ukazuje, co byste mohli získat zpět při mimořádných okolnostech na trhu, a nebere v potaz situaci, kdy Vám nejsme schopni zaplatit.</w:t>
            </w:r>
          </w:p>
          <w:p w14:paraId="7AE8EA78" w14:textId="5CE279EF" w:rsidR="003D5DB3" w:rsidRPr="00BF2058" w:rsidRDefault="002275A5" w:rsidP="003E14A0">
            <w:pPr>
              <w:pStyle w:val="Odstavecseseznamem"/>
              <w:numPr>
                <w:ilvl w:val="0"/>
                <w:numId w:val="3"/>
              </w:numPr>
              <w:spacing w:before="40" w:after="40"/>
              <w:ind w:left="641" w:hanging="357"/>
              <w:jc w:val="both"/>
              <w:rPr>
                <w:rFonts w:ascii="Manrope" w:eastAsia="Arial Unicode MS" w:hAnsi="Manrope" w:cstheme="minorHAnsi"/>
                <w:sz w:val="18"/>
                <w:szCs w:val="18"/>
              </w:rPr>
            </w:pPr>
            <w:r w:rsidRPr="002275A5">
              <w:rPr>
                <w:rFonts w:ascii="Manrope" w:eastAsia="Arial Unicode MS" w:hAnsi="Manrope" w:cstheme="minorHAnsi"/>
                <w:sz w:val="18"/>
                <w:szCs w:val="18"/>
              </w:rPr>
              <w:t>Tento produkt lze vyinkasovat do 1 roku od nejbližšího stanovení jejich aktuální hodnoty následujícího po obdržení Vaší žádosti o odkup.</w:t>
            </w:r>
          </w:p>
          <w:p w14:paraId="4F5345D5" w14:textId="1545897B" w:rsidR="003D5DB3" w:rsidRPr="00BF2058" w:rsidRDefault="003D5DB3" w:rsidP="0064262B">
            <w:pPr>
              <w:pStyle w:val="Odstavecseseznamem"/>
              <w:numPr>
                <w:ilvl w:val="0"/>
                <w:numId w:val="3"/>
              </w:numPr>
              <w:spacing w:before="40" w:after="40"/>
              <w:ind w:left="641" w:hanging="357"/>
              <w:rPr>
                <w:rFonts w:ascii="Manrope" w:eastAsia="Arial Unicode MS" w:hAnsi="Manrope" w:cstheme="minorHAnsi"/>
                <w:sz w:val="20"/>
                <w:szCs w:val="20"/>
              </w:rPr>
            </w:pPr>
            <w:r w:rsidRPr="00BF2058">
              <w:rPr>
                <w:rFonts w:ascii="Manrope" w:eastAsia="Arial Unicode MS" w:hAnsi="Manrope" w:cs="Arial Unicode MS"/>
                <w:sz w:val="18"/>
                <w:szCs w:val="18"/>
              </w:rPr>
              <w:t>Uvedené údaje zahrnují veškeré náklady samotného produktu, ale nemusí zahrnovat veškeré náklady, které zaplatíte svému poradci nebo distributorovi.</w:t>
            </w:r>
            <w:r w:rsidR="00A84846" w:rsidRPr="00BF2058">
              <w:rPr>
                <w:rFonts w:ascii="Manrope" w:eastAsia="Arial Unicode MS" w:hAnsi="Manrope" w:cs="Arial Unicode MS"/>
                <w:sz w:val="18"/>
                <w:szCs w:val="18"/>
              </w:rPr>
              <w:t xml:space="preserve"> </w:t>
            </w:r>
            <w:r w:rsidR="00A84846" w:rsidRPr="00BF2058">
              <w:rPr>
                <w:rFonts w:ascii="Manrope" w:hAnsi="Manrope" w:cstheme="minorHAnsi"/>
                <w:sz w:val="18"/>
                <w:szCs w:val="18"/>
              </w:rPr>
              <w:t>Údaje neberou v úvahu Vaši osobní daňovou situaci, která může rovnou ovlivnit, kolik získáte zpět.</w:t>
            </w:r>
          </w:p>
        </w:tc>
      </w:tr>
      <w:tr w:rsidR="00ED2B7D" w:rsidRPr="00BF2058" w14:paraId="784A30B2" w14:textId="77777777" w:rsidTr="00173C39">
        <w:tc>
          <w:tcPr>
            <w:tcW w:w="10881" w:type="dxa"/>
            <w:gridSpan w:val="4"/>
            <w:tcBorders>
              <w:top w:val="single" w:sz="12" w:space="0" w:color="A6A6A6" w:themeColor="background1" w:themeShade="A6"/>
              <w:left w:val="nil"/>
              <w:bottom w:val="nil"/>
              <w:right w:val="nil"/>
            </w:tcBorders>
            <w:shd w:val="clear" w:color="auto" w:fill="auto"/>
            <w:vAlign w:val="center"/>
          </w:tcPr>
          <w:p w14:paraId="078ADF25" w14:textId="77777777" w:rsidR="002275A5" w:rsidRDefault="002275A5" w:rsidP="0064262B">
            <w:pPr>
              <w:spacing w:before="40" w:after="40"/>
              <w:jc w:val="both"/>
              <w:rPr>
                <w:rFonts w:ascii="Manrope" w:eastAsia="Arial Unicode MS" w:hAnsi="Manrope" w:cs="Arial Unicode MS"/>
                <w:b/>
                <w:color w:val="C61E58"/>
                <w:sz w:val="20"/>
                <w:szCs w:val="20"/>
              </w:rPr>
            </w:pPr>
          </w:p>
          <w:p w14:paraId="025E575D" w14:textId="2372C0B8"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Co se stane, když Společnost není schopna uskutečnit výplatu?</w:t>
            </w:r>
          </w:p>
        </w:tc>
      </w:tr>
      <w:tr w:rsidR="0067176D" w:rsidRPr="00BF2058" w14:paraId="53FB8E81" w14:textId="77777777" w:rsidTr="00173C39">
        <w:tc>
          <w:tcPr>
            <w:tcW w:w="10881" w:type="dxa"/>
            <w:gridSpan w:val="4"/>
            <w:tcBorders>
              <w:top w:val="nil"/>
              <w:left w:val="nil"/>
              <w:bottom w:val="single" w:sz="12" w:space="0" w:color="A6A6A6" w:themeColor="background1" w:themeShade="A6"/>
              <w:right w:val="nil"/>
            </w:tcBorders>
            <w:shd w:val="clear" w:color="auto" w:fill="EAEAEA"/>
            <w:vAlign w:val="center"/>
          </w:tcPr>
          <w:p w14:paraId="634B1F45" w14:textId="358823D0" w:rsidR="0067176D" w:rsidRPr="00BF2058" w:rsidRDefault="0067176D" w:rsidP="0064262B">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Veškeré ztráty související s investicí nejsou kryty žádným systémem odškodnění nebo záruk. Investor může čelit ztrátě v důsledku selhání Společnosti.</w:t>
            </w:r>
          </w:p>
        </w:tc>
      </w:tr>
      <w:tr w:rsidR="00ED2B7D" w:rsidRPr="00BF2058" w14:paraId="5891AD37" w14:textId="77777777" w:rsidTr="00173C39">
        <w:tc>
          <w:tcPr>
            <w:tcW w:w="10881" w:type="dxa"/>
            <w:gridSpan w:val="4"/>
            <w:tcBorders>
              <w:top w:val="single" w:sz="12" w:space="0" w:color="A6A6A6" w:themeColor="background1" w:themeShade="A6"/>
              <w:left w:val="nil"/>
              <w:bottom w:val="nil"/>
              <w:right w:val="nil"/>
            </w:tcBorders>
            <w:shd w:val="clear" w:color="auto" w:fill="auto"/>
            <w:vAlign w:val="center"/>
          </w:tcPr>
          <w:p w14:paraId="7DDC557F" w14:textId="77777777" w:rsidR="00746E16" w:rsidRDefault="00746E16" w:rsidP="0064262B">
            <w:pPr>
              <w:spacing w:before="40" w:after="40"/>
              <w:jc w:val="both"/>
              <w:rPr>
                <w:rFonts w:ascii="Manrope" w:eastAsia="Arial Unicode MS" w:hAnsi="Manrope" w:cs="Arial Unicode MS"/>
                <w:b/>
                <w:color w:val="C61E58"/>
                <w:sz w:val="20"/>
                <w:szCs w:val="20"/>
              </w:rPr>
            </w:pPr>
          </w:p>
          <w:p w14:paraId="7496CF0A" w14:textId="67BC4231"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S jakými náklady je investice spojena?</w:t>
            </w:r>
          </w:p>
        </w:tc>
      </w:tr>
      <w:tr w:rsidR="00ED2B7D" w:rsidRPr="00BF2058" w14:paraId="3E4AEF19" w14:textId="77777777" w:rsidTr="00173C39">
        <w:tc>
          <w:tcPr>
            <w:tcW w:w="10881" w:type="dxa"/>
            <w:gridSpan w:val="4"/>
            <w:tcBorders>
              <w:top w:val="nil"/>
              <w:left w:val="nil"/>
              <w:bottom w:val="nil"/>
              <w:right w:val="nil"/>
            </w:tcBorders>
            <w:shd w:val="clear" w:color="auto" w:fill="auto"/>
            <w:vAlign w:val="center"/>
          </w:tcPr>
          <w:p w14:paraId="67AEF71D" w14:textId="18CE5347" w:rsidR="00ED2B7D" w:rsidRPr="00BF2058" w:rsidRDefault="00ED2B7D" w:rsidP="003F650C">
            <w:pPr>
              <w:spacing w:before="120" w:after="12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Náklady v</w:t>
            </w:r>
            <w:r w:rsidR="008F7661" w:rsidRPr="00BF2058">
              <w:rPr>
                <w:rFonts w:ascii="Manrope" w:eastAsia="Arial Unicode MS" w:hAnsi="Manrope" w:cs="Arial Unicode MS"/>
                <w:b/>
                <w:sz w:val="20"/>
                <w:szCs w:val="20"/>
              </w:rPr>
              <w:t> </w:t>
            </w:r>
            <w:r w:rsidRPr="00BF2058">
              <w:rPr>
                <w:rFonts w:ascii="Manrope" w:eastAsia="Arial Unicode MS" w:hAnsi="Manrope" w:cs="Arial Unicode MS"/>
                <w:b/>
                <w:sz w:val="20"/>
                <w:szCs w:val="20"/>
              </w:rPr>
              <w:t>čase</w:t>
            </w:r>
            <w:r w:rsidR="008F7661" w:rsidRPr="00BF2058">
              <w:rPr>
                <w:rFonts w:ascii="Manrope" w:eastAsia="Arial Unicode MS" w:hAnsi="Manrope" w:cs="Arial Unicode MS"/>
                <w:b/>
                <w:sz w:val="20"/>
                <w:szCs w:val="20"/>
              </w:rPr>
              <w:t xml:space="preserve"> (</w:t>
            </w:r>
            <w:sdt>
              <w:sdtPr>
                <w:rPr>
                  <w:rFonts w:ascii="Manrope" w:eastAsia="Arial Unicode MS" w:hAnsi="Manrope" w:cs="Arial Unicode MS"/>
                  <w:b/>
                  <w:sz w:val="20"/>
                  <w:szCs w:val="20"/>
                </w:rPr>
                <w:id w:val="2086640934"/>
                <w:placeholder>
                  <w:docPart w:val="DefaultPlaceholder_1082065159"/>
                </w:placeholder>
                <w:dropDownList>
                  <w:listItem w:value="Zvolte položku."/>
                  <w:listItem w:displayText="10 000 EUR" w:value="10 000 EUR"/>
                  <w:listItem w:displayText="1 000 000 CZK" w:value="1 000 000 CZK"/>
                </w:dropDownList>
              </w:sdtPr>
              <w:sdtEndPr/>
              <w:sdtContent>
                <w:r w:rsidR="00AA4232" w:rsidRPr="00BF2058">
                  <w:rPr>
                    <w:rFonts w:ascii="Manrope" w:eastAsia="Arial Unicode MS" w:hAnsi="Manrope" w:cs="Arial Unicode MS"/>
                    <w:b/>
                    <w:sz w:val="20"/>
                    <w:szCs w:val="20"/>
                  </w:rPr>
                  <w:t>1 000 000 CZK</w:t>
                </w:r>
              </w:sdtContent>
            </w:sdt>
            <w:r w:rsidR="008F7661" w:rsidRPr="00BF2058">
              <w:rPr>
                <w:rFonts w:ascii="Manrope" w:eastAsia="Arial Unicode MS" w:hAnsi="Manrope" w:cs="Arial Unicode MS"/>
                <w:b/>
                <w:sz w:val="20"/>
                <w:szCs w:val="20"/>
              </w:rPr>
              <w:t>)</w:t>
            </w:r>
          </w:p>
        </w:tc>
      </w:tr>
      <w:tr w:rsidR="00ED2B7D" w:rsidRPr="00BF2058" w14:paraId="5248F3F9" w14:textId="77777777" w:rsidTr="00BF2058">
        <w:trPr>
          <w:trHeight w:val="2740"/>
        </w:trPr>
        <w:tc>
          <w:tcPr>
            <w:tcW w:w="6133" w:type="dxa"/>
            <w:gridSpan w:val="2"/>
            <w:tcBorders>
              <w:top w:val="nil"/>
              <w:left w:val="nil"/>
              <w:bottom w:val="nil"/>
              <w:right w:val="nil"/>
            </w:tcBorders>
            <w:shd w:val="clear" w:color="auto" w:fill="D9D9D9" w:themeFill="background1" w:themeFillShade="D9"/>
            <w:vAlign w:val="center"/>
          </w:tcPr>
          <w:tbl>
            <w:tblPr>
              <w:tblW w:w="566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38"/>
              <w:gridCol w:w="1276"/>
              <w:gridCol w:w="1275"/>
              <w:gridCol w:w="1276"/>
            </w:tblGrid>
            <w:tr w:rsidR="00BF2058" w:rsidRPr="00BF2058" w14:paraId="477F1999" w14:textId="6FCF99E9" w:rsidTr="00BF2058">
              <w:trPr>
                <w:trHeight w:val="315"/>
              </w:trPr>
              <w:tc>
                <w:tcPr>
                  <w:tcW w:w="1838" w:type="dxa"/>
                  <w:shd w:val="clear" w:color="000000" w:fill="D9D9D9"/>
                  <w:noWrap/>
                  <w:vAlign w:val="center"/>
                </w:tcPr>
                <w:p w14:paraId="5BC36A92" w14:textId="66F60276" w:rsidR="00BF2058" w:rsidRPr="00BF2058" w:rsidRDefault="00BF2058" w:rsidP="0064262B">
                  <w:pPr>
                    <w:framePr w:hSpace="141" w:wrap="around" w:vAnchor="text" w:hAnchor="text" w:y="1"/>
                    <w:suppressOverlap/>
                    <w:rPr>
                      <w:rFonts w:ascii="Manrope" w:hAnsi="Manrope"/>
                      <w:b/>
                      <w:bCs/>
                      <w:color w:val="000000"/>
                      <w:sz w:val="16"/>
                      <w:szCs w:val="16"/>
                    </w:rPr>
                  </w:pPr>
                  <w:r w:rsidRPr="00BF2058">
                    <w:rPr>
                      <w:rFonts w:ascii="Manrope" w:hAnsi="Manrope"/>
                      <w:b/>
                      <w:bCs/>
                      <w:color w:val="000000"/>
                      <w:sz w:val="16"/>
                      <w:szCs w:val="16"/>
                    </w:rPr>
                    <w:t>Nepravidelná investice / počet let</w:t>
                  </w:r>
                </w:p>
              </w:tc>
              <w:tc>
                <w:tcPr>
                  <w:tcW w:w="1276" w:type="dxa"/>
                  <w:shd w:val="clear" w:color="000000" w:fill="D9D9D9"/>
                  <w:noWrap/>
                  <w:vAlign w:val="center"/>
                </w:tcPr>
                <w:p w14:paraId="72DC50BB" w14:textId="4FA014D8" w:rsidR="00BF2058" w:rsidRPr="00261B60" w:rsidRDefault="00BF2058" w:rsidP="0064262B">
                  <w:pPr>
                    <w:framePr w:hSpace="141" w:wrap="around" w:vAnchor="text" w:hAnchor="text" w:y="1"/>
                    <w:suppressOverlap/>
                    <w:jc w:val="center"/>
                    <w:rPr>
                      <w:rFonts w:ascii="Manrope" w:hAnsi="Manrope"/>
                      <w:b/>
                      <w:bCs/>
                      <w:color w:val="000000"/>
                      <w:sz w:val="16"/>
                      <w:szCs w:val="16"/>
                    </w:rPr>
                  </w:pPr>
                  <w:r w:rsidRPr="00261B60">
                    <w:rPr>
                      <w:rFonts w:ascii="Manrope" w:hAnsi="Manrope" w:cs="Calibri"/>
                      <w:b/>
                      <w:bCs/>
                      <w:color w:val="000000"/>
                      <w:sz w:val="16"/>
                      <w:szCs w:val="16"/>
                    </w:rPr>
                    <w:t>1</w:t>
                  </w:r>
                </w:p>
              </w:tc>
              <w:tc>
                <w:tcPr>
                  <w:tcW w:w="1275" w:type="dxa"/>
                  <w:shd w:val="clear" w:color="000000" w:fill="D9D9D9"/>
                  <w:noWrap/>
                  <w:vAlign w:val="center"/>
                </w:tcPr>
                <w:p w14:paraId="09121324" w14:textId="759A6112" w:rsidR="00BF2058" w:rsidRPr="00BF2058" w:rsidRDefault="003A44DB" w:rsidP="0064262B">
                  <w:pPr>
                    <w:framePr w:hSpace="141" w:wrap="around" w:vAnchor="text" w:hAnchor="text" w:y="1"/>
                    <w:suppressOverlap/>
                    <w:jc w:val="center"/>
                    <w:rPr>
                      <w:rFonts w:ascii="Manrope" w:hAnsi="Manrope"/>
                      <w:b/>
                      <w:bCs/>
                      <w:color w:val="000000"/>
                      <w:sz w:val="16"/>
                      <w:szCs w:val="16"/>
                    </w:rPr>
                  </w:pPr>
                  <w:sdt>
                    <w:sdtPr>
                      <w:rPr>
                        <w:rFonts w:ascii="Manrope" w:eastAsia="Arial Unicode MS" w:hAnsi="Manrope" w:cs="Arial Unicode MS"/>
                        <w:b/>
                        <w:bCs/>
                        <w:sz w:val="16"/>
                        <w:szCs w:val="16"/>
                      </w:rPr>
                      <w:id w:val="-1365133012"/>
                      <w:placeholder>
                        <w:docPart w:val="9697F8A2D1A347FE8CCA3D5A953E6988"/>
                      </w:placeholder>
                      <w:dropDownList>
                        <w:listItem w:value="Zvolte položku."/>
                        <w:listItem w:displayText="2" w:value="2"/>
                        <w:listItem w:displayText="3" w:value="3"/>
                        <w:listItem w:displayText="4" w:value="4"/>
                        <w:listItem w:displayText="5" w:value="5"/>
                        <w:listItem w:displayText="6" w:value="6"/>
                        <w:listItem w:displayText="7" w:value="7"/>
                      </w:dropDownList>
                    </w:sdtPr>
                    <w:sdtEndPr/>
                    <w:sdtContent>
                      <w:r w:rsidR="00C97BC7">
                        <w:rPr>
                          <w:rFonts w:ascii="Manrope" w:eastAsia="Arial Unicode MS" w:hAnsi="Manrope" w:cs="Arial Unicode MS"/>
                          <w:b/>
                          <w:bCs/>
                          <w:sz w:val="16"/>
                          <w:szCs w:val="16"/>
                        </w:rPr>
                        <w:t>3</w:t>
                      </w:r>
                    </w:sdtContent>
                  </w:sdt>
                </w:p>
              </w:tc>
              <w:tc>
                <w:tcPr>
                  <w:tcW w:w="1276" w:type="dxa"/>
                  <w:shd w:val="clear" w:color="000000" w:fill="D9D9D9"/>
                  <w:noWrap/>
                  <w:vAlign w:val="center"/>
                </w:tcPr>
                <w:p w14:paraId="157513A3" w14:textId="4EE52E9F" w:rsidR="00BF2058" w:rsidRPr="00BF2058" w:rsidRDefault="003A44DB" w:rsidP="0064262B">
                  <w:pPr>
                    <w:framePr w:hSpace="141" w:wrap="around" w:vAnchor="text" w:hAnchor="text" w:y="1"/>
                    <w:suppressOverlap/>
                    <w:jc w:val="center"/>
                    <w:rPr>
                      <w:rFonts w:ascii="Manrope" w:hAnsi="Manrope"/>
                      <w:b/>
                      <w:bCs/>
                      <w:color w:val="000000"/>
                      <w:sz w:val="16"/>
                      <w:szCs w:val="16"/>
                    </w:rPr>
                  </w:pPr>
                  <w:sdt>
                    <w:sdtPr>
                      <w:rPr>
                        <w:rFonts w:ascii="Manrope" w:eastAsia="Arial Unicode MS" w:hAnsi="Manrope" w:cs="Arial Unicode MS"/>
                        <w:b/>
                        <w:sz w:val="16"/>
                        <w:szCs w:val="16"/>
                      </w:rPr>
                      <w:id w:val="2132672999"/>
                      <w:placeholder>
                        <w:docPart w:val="CED38BDC683B4FD781B4EE9F2D22C005"/>
                      </w:placeholder>
                      <w:dropDownList>
                        <w:listItem w:value="Zvolte položku."/>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2C05ED" w:rsidRPr="00261B60">
                        <w:rPr>
                          <w:rFonts w:ascii="Manrope" w:eastAsia="Arial Unicode MS" w:hAnsi="Manrope" w:cs="Arial Unicode MS"/>
                          <w:b/>
                          <w:sz w:val="16"/>
                          <w:szCs w:val="16"/>
                        </w:rPr>
                        <w:t>5</w:t>
                      </w:r>
                    </w:sdtContent>
                  </w:sdt>
                  <w:r w:rsidR="00BF2058" w:rsidRPr="00BF2058">
                    <w:rPr>
                      <w:rFonts w:ascii="Manrope" w:hAnsi="Manrope" w:cs="Calibri"/>
                      <w:color w:val="000000"/>
                      <w:sz w:val="16"/>
                      <w:szCs w:val="16"/>
                    </w:rPr>
                    <w:t xml:space="preserve">  </w:t>
                  </w:r>
                  <w:r w:rsidR="00BF2058" w:rsidRPr="00BF2058">
                    <w:rPr>
                      <w:rFonts w:ascii="Manrope" w:hAnsi="Manrope" w:cs="Calibri"/>
                      <w:sz w:val="16"/>
                      <w:szCs w:val="16"/>
                    </w:rPr>
                    <w:t>(doporučená doba držení)</w:t>
                  </w:r>
                </w:p>
              </w:tc>
            </w:tr>
            <w:tr w:rsidR="00261B60" w:rsidRPr="00BF2058" w14:paraId="1A628683" w14:textId="4C70C326" w:rsidTr="00B02BC4">
              <w:trPr>
                <w:trHeight w:val="300"/>
              </w:trPr>
              <w:tc>
                <w:tcPr>
                  <w:tcW w:w="1838" w:type="dxa"/>
                  <w:shd w:val="clear" w:color="auto" w:fill="auto"/>
                  <w:noWrap/>
                  <w:vAlign w:val="center"/>
                </w:tcPr>
                <w:p w14:paraId="7205E410" w14:textId="77777777" w:rsidR="00261B60" w:rsidRPr="00261B60" w:rsidRDefault="00261B60" w:rsidP="00261B60">
                  <w:pPr>
                    <w:framePr w:hSpace="141" w:wrap="around" w:vAnchor="text" w:hAnchor="text" w:y="1"/>
                    <w:suppressOverlap/>
                    <w:rPr>
                      <w:rFonts w:ascii="Manrope" w:hAnsi="Manrope"/>
                      <w:color w:val="000000"/>
                      <w:sz w:val="16"/>
                      <w:szCs w:val="16"/>
                    </w:rPr>
                  </w:pPr>
                  <w:r w:rsidRPr="00261B60">
                    <w:rPr>
                      <w:rFonts w:ascii="Manrope" w:hAnsi="Manrope"/>
                      <w:color w:val="000000"/>
                      <w:sz w:val="16"/>
                      <w:szCs w:val="16"/>
                    </w:rPr>
                    <w:t>Vložená hodnota investice (zhodnocení dle umírněného scénáře)</w:t>
                  </w:r>
                </w:p>
              </w:tc>
              <w:tc>
                <w:tcPr>
                  <w:tcW w:w="1276" w:type="dxa"/>
                  <w:tcBorders>
                    <w:top w:val="nil"/>
                    <w:left w:val="nil"/>
                    <w:bottom w:val="dotted" w:sz="4" w:space="0" w:color="auto"/>
                    <w:right w:val="dotted" w:sz="4" w:space="0" w:color="auto"/>
                  </w:tcBorders>
                  <w:shd w:val="clear" w:color="auto" w:fill="auto"/>
                  <w:noWrap/>
                  <w:vAlign w:val="center"/>
                </w:tcPr>
                <w:p w14:paraId="670B1FB7" w14:textId="7AC3D24D"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621 300 Kč</w:t>
                  </w:r>
                </w:p>
              </w:tc>
              <w:tc>
                <w:tcPr>
                  <w:tcW w:w="1275" w:type="dxa"/>
                  <w:tcBorders>
                    <w:top w:val="nil"/>
                    <w:left w:val="nil"/>
                    <w:bottom w:val="dotted" w:sz="4" w:space="0" w:color="auto"/>
                    <w:right w:val="dotted" w:sz="4" w:space="0" w:color="auto"/>
                  </w:tcBorders>
                  <w:shd w:val="clear" w:color="auto" w:fill="auto"/>
                  <w:noWrap/>
                  <w:vAlign w:val="center"/>
                </w:tcPr>
                <w:p w14:paraId="30CC8A85" w14:textId="3B3DD45B"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1 107 250 Kč</w:t>
                  </w:r>
                </w:p>
              </w:tc>
              <w:tc>
                <w:tcPr>
                  <w:tcW w:w="1276" w:type="dxa"/>
                  <w:tcBorders>
                    <w:top w:val="nil"/>
                    <w:left w:val="nil"/>
                    <w:bottom w:val="dotted" w:sz="4" w:space="0" w:color="auto"/>
                    <w:right w:val="single" w:sz="8" w:space="0" w:color="A6A6A6"/>
                  </w:tcBorders>
                  <w:shd w:val="clear" w:color="auto" w:fill="auto"/>
                  <w:noWrap/>
                  <w:vAlign w:val="center"/>
                </w:tcPr>
                <w:p w14:paraId="31EADE65" w14:textId="33BC51F7"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1 461 693 Kč</w:t>
                  </w:r>
                </w:p>
              </w:tc>
            </w:tr>
            <w:tr w:rsidR="00261B60" w:rsidRPr="00BF2058" w14:paraId="75128DF9" w14:textId="73B37DB9" w:rsidTr="00B02BC4">
              <w:trPr>
                <w:trHeight w:val="300"/>
              </w:trPr>
              <w:tc>
                <w:tcPr>
                  <w:tcW w:w="1838" w:type="dxa"/>
                  <w:shd w:val="clear" w:color="auto" w:fill="auto"/>
                  <w:noWrap/>
                  <w:vAlign w:val="center"/>
                </w:tcPr>
                <w:p w14:paraId="50CEFD72" w14:textId="18E3406E" w:rsidR="00261B60" w:rsidRPr="00261B60" w:rsidRDefault="00261B60" w:rsidP="00261B60">
                  <w:pPr>
                    <w:framePr w:hSpace="141" w:wrap="around" w:vAnchor="text" w:hAnchor="text" w:y="1"/>
                    <w:suppressOverlap/>
                    <w:rPr>
                      <w:rFonts w:ascii="Manrope" w:hAnsi="Manrope"/>
                      <w:b/>
                      <w:color w:val="000000"/>
                      <w:sz w:val="16"/>
                      <w:szCs w:val="16"/>
                    </w:rPr>
                  </w:pPr>
                  <w:r w:rsidRPr="00261B60">
                    <w:rPr>
                      <w:rFonts w:ascii="Manrope" w:hAnsi="Manrope"/>
                      <w:b/>
                      <w:color w:val="000000"/>
                      <w:sz w:val="16"/>
                      <w:szCs w:val="16"/>
                    </w:rPr>
                    <w:t>Náklady celkem (CZK)</w:t>
                  </w:r>
                </w:p>
              </w:tc>
              <w:tc>
                <w:tcPr>
                  <w:tcW w:w="1276" w:type="dxa"/>
                  <w:tcBorders>
                    <w:top w:val="nil"/>
                    <w:left w:val="dotted" w:sz="4" w:space="0" w:color="auto"/>
                    <w:bottom w:val="nil"/>
                    <w:right w:val="dotted" w:sz="4" w:space="0" w:color="auto"/>
                  </w:tcBorders>
                  <w:shd w:val="clear" w:color="auto" w:fill="auto"/>
                  <w:noWrap/>
                  <w:vAlign w:val="center"/>
                </w:tcPr>
                <w:p w14:paraId="2FDDDE8C" w14:textId="77B6C038" w:rsidR="00261B60" w:rsidRPr="00261B60" w:rsidRDefault="00261B60" w:rsidP="00261B60">
                  <w:pPr>
                    <w:framePr w:hSpace="141" w:wrap="around" w:vAnchor="text" w:hAnchor="text" w:y="1"/>
                    <w:suppressOverlap/>
                    <w:jc w:val="center"/>
                    <w:rPr>
                      <w:rFonts w:ascii="Manrope" w:hAnsi="Manrope"/>
                      <w:b/>
                      <w:bCs/>
                      <w:color w:val="FF0000"/>
                      <w:sz w:val="16"/>
                      <w:szCs w:val="16"/>
                    </w:rPr>
                  </w:pPr>
                  <w:r w:rsidRPr="00261B60">
                    <w:rPr>
                      <w:rFonts w:ascii="Manrope" w:hAnsi="Manrope" w:cs="Calibri"/>
                      <w:b/>
                      <w:bCs/>
                      <w:color w:val="000000"/>
                      <w:sz w:val="16"/>
                      <w:szCs w:val="16"/>
                    </w:rPr>
                    <w:t>522 225 Kč</w:t>
                  </w:r>
                </w:p>
              </w:tc>
              <w:tc>
                <w:tcPr>
                  <w:tcW w:w="1275" w:type="dxa"/>
                  <w:tcBorders>
                    <w:top w:val="nil"/>
                    <w:left w:val="nil"/>
                    <w:bottom w:val="nil"/>
                    <w:right w:val="dotted" w:sz="4" w:space="0" w:color="auto"/>
                  </w:tcBorders>
                  <w:shd w:val="clear" w:color="auto" w:fill="auto"/>
                  <w:noWrap/>
                  <w:vAlign w:val="center"/>
                </w:tcPr>
                <w:p w14:paraId="6DAF7C6B" w14:textId="4663DE68" w:rsidR="00261B60" w:rsidRPr="00261B60" w:rsidRDefault="00261B60" w:rsidP="00261B60">
                  <w:pPr>
                    <w:framePr w:hSpace="141" w:wrap="around" w:vAnchor="text" w:hAnchor="text" w:y="1"/>
                    <w:suppressOverlap/>
                    <w:jc w:val="center"/>
                    <w:rPr>
                      <w:rFonts w:ascii="Manrope" w:hAnsi="Manrope"/>
                      <w:b/>
                      <w:bCs/>
                      <w:color w:val="FF0000"/>
                      <w:sz w:val="16"/>
                      <w:szCs w:val="16"/>
                    </w:rPr>
                  </w:pPr>
                  <w:r w:rsidRPr="00261B60">
                    <w:rPr>
                      <w:rFonts w:ascii="Manrope" w:hAnsi="Manrope" w:cs="Calibri"/>
                      <w:b/>
                      <w:bCs/>
                      <w:color w:val="000000"/>
                      <w:sz w:val="16"/>
                      <w:szCs w:val="16"/>
                    </w:rPr>
                    <w:t>292 563 Kč</w:t>
                  </w:r>
                </w:p>
              </w:tc>
              <w:tc>
                <w:tcPr>
                  <w:tcW w:w="1276" w:type="dxa"/>
                  <w:tcBorders>
                    <w:top w:val="nil"/>
                    <w:left w:val="nil"/>
                    <w:bottom w:val="nil"/>
                    <w:right w:val="single" w:sz="8" w:space="0" w:color="A6A6A6"/>
                  </w:tcBorders>
                  <w:shd w:val="clear" w:color="auto" w:fill="auto"/>
                  <w:noWrap/>
                  <w:vAlign w:val="center"/>
                </w:tcPr>
                <w:p w14:paraId="004513BB" w14:textId="4D1FF37F" w:rsidR="00261B60" w:rsidRPr="00261B60" w:rsidRDefault="00261B60" w:rsidP="00261B60">
                  <w:pPr>
                    <w:framePr w:hSpace="141" w:wrap="around" w:vAnchor="text" w:hAnchor="text" w:y="1"/>
                    <w:suppressOverlap/>
                    <w:jc w:val="center"/>
                    <w:rPr>
                      <w:rFonts w:ascii="Manrope" w:hAnsi="Manrope"/>
                      <w:b/>
                      <w:bCs/>
                      <w:color w:val="FF0000"/>
                      <w:sz w:val="16"/>
                      <w:szCs w:val="16"/>
                    </w:rPr>
                  </w:pPr>
                  <w:r w:rsidRPr="00261B60">
                    <w:rPr>
                      <w:rFonts w:ascii="Manrope" w:hAnsi="Manrope" w:cs="Calibri"/>
                      <w:b/>
                      <w:bCs/>
                      <w:color w:val="000000"/>
                      <w:sz w:val="16"/>
                      <w:szCs w:val="16"/>
                    </w:rPr>
                    <w:t>246 653 Kč</w:t>
                  </w:r>
                </w:p>
              </w:tc>
            </w:tr>
            <w:tr w:rsidR="00261B60" w:rsidRPr="00BF2058" w14:paraId="04BD6E2A" w14:textId="1F552D58" w:rsidTr="00B02BC4">
              <w:trPr>
                <w:trHeight w:val="300"/>
              </w:trPr>
              <w:tc>
                <w:tcPr>
                  <w:tcW w:w="1838" w:type="dxa"/>
                  <w:shd w:val="clear" w:color="auto" w:fill="auto"/>
                  <w:noWrap/>
                  <w:vAlign w:val="center"/>
                </w:tcPr>
                <w:p w14:paraId="63DD8DA1" w14:textId="77777777" w:rsidR="00261B60" w:rsidRPr="00261B60" w:rsidRDefault="00261B60" w:rsidP="00261B60">
                  <w:pPr>
                    <w:framePr w:hSpace="141" w:wrap="around" w:vAnchor="text" w:hAnchor="text" w:y="1"/>
                    <w:suppressOverlap/>
                    <w:rPr>
                      <w:rFonts w:ascii="Manrope" w:hAnsi="Manrope"/>
                      <w:color w:val="000000"/>
                      <w:sz w:val="16"/>
                      <w:szCs w:val="16"/>
                    </w:rPr>
                  </w:pPr>
                  <w:r w:rsidRPr="00261B60">
                    <w:rPr>
                      <w:rFonts w:ascii="Manrope" w:hAnsi="Manrope"/>
                      <w:color w:val="000000"/>
                      <w:sz w:val="16"/>
                      <w:szCs w:val="16"/>
                    </w:rPr>
                    <w:t>Dopad na výnos p.a.</w:t>
                  </w:r>
                </w:p>
              </w:tc>
              <w:tc>
                <w:tcPr>
                  <w:tcW w:w="1276" w:type="dxa"/>
                  <w:tcBorders>
                    <w:top w:val="nil"/>
                    <w:left w:val="nil"/>
                    <w:bottom w:val="single" w:sz="8" w:space="0" w:color="A6A6A6"/>
                    <w:right w:val="dotted" w:sz="4" w:space="0" w:color="auto"/>
                  </w:tcBorders>
                  <w:shd w:val="clear" w:color="auto" w:fill="auto"/>
                  <w:noWrap/>
                  <w:vAlign w:val="center"/>
                </w:tcPr>
                <w:p w14:paraId="458F5199" w14:textId="2D76BC32"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50,49</w:t>
                  </w:r>
                  <w:r>
                    <w:rPr>
                      <w:rFonts w:ascii="Manrope" w:hAnsi="Manrope" w:cs="Calibri"/>
                      <w:color w:val="000000"/>
                      <w:sz w:val="16"/>
                      <w:szCs w:val="16"/>
                    </w:rPr>
                    <w:t xml:space="preserve"> </w:t>
                  </w:r>
                  <w:r w:rsidRPr="00261B60">
                    <w:rPr>
                      <w:rFonts w:ascii="Manrope" w:hAnsi="Manrope" w:cs="Calibri"/>
                      <w:color w:val="000000"/>
                      <w:sz w:val="16"/>
                      <w:szCs w:val="16"/>
                    </w:rPr>
                    <w:t>%</w:t>
                  </w:r>
                </w:p>
              </w:tc>
              <w:tc>
                <w:tcPr>
                  <w:tcW w:w="1275" w:type="dxa"/>
                  <w:tcBorders>
                    <w:top w:val="nil"/>
                    <w:left w:val="nil"/>
                    <w:bottom w:val="single" w:sz="8" w:space="0" w:color="A6A6A6"/>
                    <w:right w:val="dotted" w:sz="4" w:space="0" w:color="auto"/>
                  </w:tcBorders>
                  <w:shd w:val="clear" w:color="auto" w:fill="auto"/>
                  <w:noWrap/>
                  <w:vAlign w:val="center"/>
                </w:tcPr>
                <w:p w14:paraId="263A3AF1" w14:textId="3F1E9877"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9,00</w:t>
                  </w:r>
                  <w:r>
                    <w:rPr>
                      <w:rFonts w:ascii="Manrope" w:hAnsi="Manrope" w:cs="Calibri"/>
                      <w:color w:val="000000"/>
                      <w:sz w:val="16"/>
                      <w:szCs w:val="16"/>
                    </w:rPr>
                    <w:t xml:space="preserve"> </w:t>
                  </w:r>
                  <w:r w:rsidRPr="00261B60">
                    <w:rPr>
                      <w:rFonts w:ascii="Manrope" w:hAnsi="Manrope" w:cs="Calibri"/>
                      <w:color w:val="000000"/>
                      <w:sz w:val="16"/>
                      <w:szCs w:val="16"/>
                    </w:rPr>
                    <w:t>%</w:t>
                  </w:r>
                </w:p>
              </w:tc>
              <w:tc>
                <w:tcPr>
                  <w:tcW w:w="1276" w:type="dxa"/>
                  <w:tcBorders>
                    <w:top w:val="nil"/>
                    <w:left w:val="nil"/>
                    <w:bottom w:val="single" w:sz="8" w:space="0" w:color="A6A6A6"/>
                    <w:right w:val="single" w:sz="8" w:space="0" w:color="A6A6A6"/>
                  </w:tcBorders>
                  <w:shd w:val="clear" w:color="auto" w:fill="auto"/>
                  <w:noWrap/>
                  <w:vAlign w:val="center"/>
                </w:tcPr>
                <w:p w14:paraId="22F3F9A8" w14:textId="13CBDFF4" w:rsidR="00261B60" w:rsidRPr="00261B60" w:rsidRDefault="00261B60" w:rsidP="00261B60">
                  <w:pPr>
                    <w:framePr w:hSpace="141" w:wrap="around" w:vAnchor="text" w:hAnchor="text" w:y="1"/>
                    <w:suppressOverlap/>
                    <w:jc w:val="center"/>
                    <w:rPr>
                      <w:rFonts w:ascii="Manrope" w:hAnsi="Manrope"/>
                      <w:color w:val="FF0000"/>
                      <w:sz w:val="16"/>
                      <w:szCs w:val="16"/>
                    </w:rPr>
                  </w:pPr>
                  <w:r w:rsidRPr="00261B60">
                    <w:rPr>
                      <w:rFonts w:ascii="Manrope" w:hAnsi="Manrope" w:cs="Calibri"/>
                      <w:color w:val="000000"/>
                      <w:sz w:val="16"/>
                      <w:szCs w:val="16"/>
                    </w:rPr>
                    <w:t>4,42</w:t>
                  </w:r>
                  <w:r>
                    <w:rPr>
                      <w:rFonts w:ascii="Manrope" w:hAnsi="Manrope" w:cs="Calibri"/>
                      <w:color w:val="000000"/>
                      <w:sz w:val="16"/>
                      <w:szCs w:val="16"/>
                    </w:rPr>
                    <w:t xml:space="preserve"> </w:t>
                  </w:r>
                  <w:r w:rsidRPr="00261B60">
                    <w:rPr>
                      <w:rFonts w:ascii="Manrope" w:hAnsi="Manrope" w:cs="Calibri"/>
                      <w:color w:val="000000"/>
                      <w:sz w:val="16"/>
                      <w:szCs w:val="16"/>
                    </w:rPr>
                    <w:t>%</w:t>
                  </w:r>
                </w:p>
              </w:tc>
            </w:tr>
          </w:tbl>
          <w:p w14:paraId="7237E359" w14:textId="77777777" w:rsidR="00ED2B7D" w:rsidRPr="00BF2058" w:rsidRDefault="00ED2B7D" w:rsidP="0064262B">
            <w:pPr>
              <w:pStyle w:val="Zkladntext"/>
              <w:spacing w:before="40" w:after="40"/>
              <w:jc w:val="both"/>
              <w:rPr>
                <w:rFonts w:ascii="Manrope" w:eastAsia="Arial Unicode MS" w:hAnsi="Manrope" w:cs="Arial Unicode MS"/>
                <w:i/>
                <w:szCs w:val="20"/>
                <w:highlight w:val="yellow"/>
              </w:rPr>
            </w:pPr>
          </w:p>
        </w:tc>
        <w:tc>
          <w:tcPr>
            <w:tcW w:w="4748" w:type="dxa"/>
            <w:gridSpan w:val="2"/>
            <w:tcBorders>
              <w:top w:val="nil"/>
              <w:left w:val="nil"/>
              <w:bottom w:val="nil"/>
              <w:right w:val="nil"/>
            </w:tcBorders>
            <w:shd w:val="clear" w:color="auto" w:fill="auto"/>
            <w:vAlign w:val="center"/>
          </w:tcPr>
          <w:p w14:paraId="2C5F1608" w14:textId="77777777" w:rsidR="00746E16" w:rsidRPr="00746E16" w:rsidRDefault="00746E16" w:rsidP="00746E16">
            <w:pPr>
              <w:pStyle w:val="Zkladntext"/>
              <w:spacing w:before="40" w:after="40"/>
              <w:jc w:val="both"/>
              <w:rPr>
                <w:rFonts w:ascii="Manrope" w:eastAsia="Arial Unicode MS" w:hAnsi="Manrope" w:cs="Arial Unicode MS"/>
                <w:sz w:val="18"/>
                <w:szCs w:val="18"/>
              </w:rPr>
            </w:pPr>
            <w:r w:rsidRPr="00746E16">
              <w:rPr>
                <w:rFonts w:ascii="Manrope" w:eastAsia="Arial Unicode MS" w:hAnsi="Manrope" w:cs="Arial Unicode MS"/>
                <w:sz w:val="18"/>
                <w:szCs w:val="18"/>
              </w:rPr>
              <w:t>Zde uvedené částky jsou kumulativní náklady produktu samotného po tři různé doby držení. Zahrnují možné pokuty za předčasné ukončení (např. v 1. roce 40 % hodnoty investice, a ve 3. roce 10 % hodnoty investice). Údaje předpokládají, že investujete 1 000 000 CZK. Tyto údaje jsou odhady a mohou se v budoucnosti změnit.</w:t>
            </w:r>
          </w:p>
          <w:p w14:paraId="27E68A00" w14:textId="56DCF158" w:rsidR="00ED2B7D" w:rsidRPr="00BF2058" w:rsidRDefault="00746E16" w:rsidP="00746E16">
            <w:pPr>
              <w:pStyle w:val="Zkladntext"/>
              <w:spacing w:before="40" w:after="40"/>
              <w:jc w:val="both"/>
              <w:rPr>
                <w:rFonts w:ascii="Manrope" w:eastAsia="Arial Unicode MS" w:hAnsi="Manrope" w:cs="Arial Unicode MS"/>
                <w:i/>
                <w:szCs w:val="20"/>
                <w:highlight w:val="yellow"/>
              </w:rPr>
            </w:pPr>
            <w:r w:rsidRPr="00746E16">
              <w:rPr>
                <w:rFonts w:ascii="Manrope" w:eastAsia="Arial Unicode MS" w:hAnsi="Manrope" w:cs="Arial Unicode MS"/>
                <w:sz w:val="18"/>
                <w:szCs w:val="18"/>
              </w:rPr>
              <w:t>Osoba, která Vám tento produkt prodává nebo Vám o něm poskytuje poradenství, Vám může účtovat jiné náklady. Pokud ano, poskytne Vám tato osoba o těchto nákladech informace a objasní Vám dopad, který budou v čase všechny náklady mít na Vaši investici.</w:t>
            </w:r>
          </w:p>
        </w:tc>
      </w:tr>
      <w:tr w:rsidR="00ED2B7D" w:rsidRPr="005A73F0" w14:paraId="3097952A" w14:textId="77777777" w:rsidTr="00173C39">
        <w:trPr>
          <w:trHeight w:val="263"/>
        </w:trPr>
        <w:tc>
          <w:tcPr>
            <w:tcW w:w="10881" w:type="dxa"/>
            <w:gridSpan w:val="4"/>
            <w:tcBorders>
              <w:top w:val="nil"/>
              <w:left w:val="nil"/>
              <w:bottom w:val="nil"/>
              <w:right w:val="nil"/>
            </w:tcBorders>
            <w:shd w:val="clear" w:color="auto" w:fill="auto"/>
            <w:vAlign w:val="center"/>
          </w:tcPr>
          <w:p w14:paraId="53C4665B" w14:textId="6A46DD39" w:rsidR="00ED2B7D" w:rsidRPr="005A73F0" w:rsidRDefault="00ED2B7D" w:rsidP="006E3B6F">
            <w:pPr>
              <w:spacing w:before="120" w:after="120"/>
              <w:jc w:val="both"/>
              <w:rPr>
                <w:rFonts w:ascii="Manrope" w:eastAsia="Arial Unicode MS" w:hAnsi="Manrope" w:cstheme="minorHAnsi"/>
                <w:b/>
                <w:sz w:val="18"/>
                <w:szCs w:val="18"/>
              </w:rPr>
            </w:pPr>
            <w:r w:rsidRPr="005A73F0">
              <w:rPr>
                <w:rFonts w:ascii="Manrope" w:eastAsia="Arial Unicode MS" w:hAnsi="Manrope" w:cstheme="minorHAnsi"/>
                <w:b/>
                <w:sz w:val="18"/>
                <w:szCs w:val="18"/>
              </w:rPr>
              <w:lastRenderedPageBreak/>
              <w:t>Skladba nákladů</w:t>
            </w:r>
            <w:r w:rsidR="008F7661" w:rsidRPr="005A73F0">
              <w:rPr>
                <w:rFonts w:ascii="Manrope" w:eastAsia="Arial Unicode MS" w:hAnsi="Manrope" w:cstheme="minorHAnsi"/>
                <w:b/>
                <w:sz w:val="18"/>
                <w:szCs w:val="18"/>
              </w:rPr>
              <w:t xml:space="preserve"> </w:t>
            </w:r>
            <w:r w:rsidR="008F7661" w:rsidRPr="005A73F0">
              <w:rPr>
                <w:rFonts w:ascii="Manrope" w:eastAsia="Arial Unicode MS" w:hAnsi="Manrope" w:cstheme="minorHAnsi"/>
                <w:sz w:val="18"/>
                <w:szCs w:val="18"/>
              </w:rPr>
              <w:t xml:space="preserve">(tabulka ukazuje </w:t>
            </w:r>
            <w:r w:rsidR="008F7661" w:rsidRPr="005A73F0">
              <w:rPr>
                <w:rFonts w:ascii="Manrope" w:hAnsi="Manrope" w:cstheme="minorHAnsi"/>
                <w:sz w:val="18"/>
                <w:szCs w:val="18"/>
              </w:rPr>
              <w:t xml:space="preserve">dopad každého roku různých typů nákladů na výnos investice, který byste mohli získat na konci doporučené doby držení – zde je doporučená doba držení </w:t>
            </w:r>
            <w:r w:rsidR="006E3B6F" w:rsidRPr="005A73F0">
              <w:rPr>
                <w:rFonts w:ascii="Manrope" w:eastAsia="Arial Unicode MS" w:hAnsi="Manrope" w:cstheme="minorHAnsi"/>
                <w:sz w:val="18"/>
                <w:szCs w:val="18"/>
              </w:rPr>
              <w:t xml:space="preserve"> </w:t>
            </w:r>
            <w:sdt>
              <w:sdtPr>
                <w:rPr>
                  <w:rFonts w:ascii="Manrope" w:eastAsia="Arial Unicode MS" w:hAnsi="Manrope" w:cstheme="minorHAnsi"/>
                  <w:sz w:val="18"/>
                  <w:szCs w:val="18"/>
                </w:rPr>
                <w:id w:val="-750187911"/>
                <w:placeholder>
                  <w:docPart w:val="BE43FFD6985A4C7CA596F7E5ED974054"/>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9 let" w:value="9 let"/>
                  <w:listItem w:displayText="10 let" w:value="10 let"/>
                </w:dropDownList>
              </w:sdtPr>
              <w:sdtEndPr>
                <w:rPr>
                  <w:rFonts w:cs="Arial Unicode MS"/>
                </w:rPr>
              </w:sdtEndPr>
              <w:sdtContent>
                <w:r w:rsidR="00746E16">
                  <w:rPr>
                    <w:rFonts w:ascii="Manrope" w:eastAsia="Arial Unicode MS" w:hAnsi="Manrope" w:cstheme="minorHAnsi"/>
                    <w:sz w:val="18"/>
                    <w:szCs w:val="18"/>
                  </w:rPr>
                  <w:t>5 let</w:t>
                </w:r>
              </w:sdtContent>
            </w:sdt>
            <w:r w:rsidR="006E3B6F" w:rsidRPr="005A73F0">
              <w:rPr>
                <w:rFonts w:ascii="Manrope" w:hAnsi="Manrope" w:cstheme="minorHAnsi"/>
                <w:color w:val="FF0000"/>
                <w:sz w:val="18"/>
                <w:szCs w:val="18"/>
              </w:rPr>
              <w:t xml:space="preserve"> </w:t>
            </w:r>
            <w:r w:rsidR="004B655A" w:rsidRPr="005A73F0">
              <w:rPr>
                <w:rFonts w:ascii="Manrope" w:hAnsi="Manrope" w:cstheme="minorHAnsi"/>
                <w:sz w:val="18"/>
                <w:szCs w:val="18"/>
              </w:rPr>
              <w:t>– a význam různých kategorií nákladů</w:t>
            </w:r>
            <w:r w:rsidR="008F7661" w:rsidRPr="005A73F0">
              <w:rPr>
                <w:rFonts w:ascii="Manrope" w:hAnsi="Manrope" w:cstheme="minorHAnsi"/>
                <w:sz w:val="18"/>
                <w:szCs w:val="18"/>
              </w:rPr>
              <w:t>)</w:t>
            </w:r>
          </w:p>
        </w:tc>
      </w:tr>
      <w:tr w:rsidR="0064262B" w:rsidRPr="00BF2058" w14:paraId="5590AD7B" w14:textId="77777777" w:rsidTr="000B314C">
        <w:trPr>
          <w:trHeight w:val="509"/>
        </w:trPr>
        <w:tc>
          <w:tcPr>
            <w:tcW w:w="10881" w:type="dxa"/>
            <w:gridSpan w:val="4"/>
            <w:vMerge w:val="restart"/>
            <w:tcBorders>
              <w:top w:val="nil"/>
              <w:left w:val="nil"/>
              <w:right w:val="nil"/>
            </w:tcBorders>
            <w:shd w:val="clear" w:color="auto" w:fill="D9D9D9" w:themeFill="background1" w:themeFillShade="D9"/>
            <w:vAlign w:val="center"/>
          </w:tcPr>
          <w:p w14:paraId="42423982" w14:textId="1D4E2200" w:rsidR="0064262B" w:rsidRPr="00BF2058" w:rsidRDefault="0064262B" w:rsidP="0064262B">
            <w:pPr>
              <w:pStyle w:val="Zkladntext"/>
              <w:jc w:val="both"/>
              <w:rPr>
                <w:rFonts w:ascii="Manrope" w:eastAsia="Arial Unicode MS" w:hAnsi="Manrope" w:cs="Arial Unicode MS"/>
                <w:i/>
                <w:sz w:val="16"/>
                <w:szCs w:val="16"/>
              </w:rPr>
            </w:pPr>
            <w:r w:rsidRPr="00BF2058">
              <w:rPr>
                <w:rFonts w:ascii="Manrope" w:eastAsia="Arial Unicode MS" w:hAnsi="Manrope" w:cs="Arial Unicode MS"/>
                <w:i/>
                <w:sz w:val="16"/>
                <w:szCs w:val="16"/>
              </w:rPr>
              <w:t>Tato tabulka ukazuje dopad na výnos ročně</w:t>
            </w:r>
          </w:p>
          <w:tbl>
            <w:tblPr>
              <w:tblW w:w="5000" w:type="pct"/>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65"/>
              <w:gridCol w:w="2476"/>
              <w:gridCol w:w="878"/>
              <w:gridCol w:w="5636"/>
            </w:tblGrid>
            <w:tr w:rsidR="00670F7E" w:rsidRPr="00BF2058" w14:paraId="30B64D9F" w14:textId="4C1E1651" w:rsidTr="00670F7E">
              <w:trPr>
                <w:trHeight w:val="315"/>
              </w:trPr>
              <w:tc>
                <w:tcPr>
                  <w:tcW w:w="781" w:type="pct"/>
                  <w:vMerge w:val="restart"/>
                  <w:shd w:val="clear" w:color="000000" w:fill="D9D9D9"/>
                  <w:noWrap/>
                  <w:vAlign w:val="center"/>
                  <w:hideMark/>
                </w:tcPr>
                <w:p w14:paraId="01A5147C" w14:textId="77777777"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Jednorázové náklady</w:t>
                  </w:r>
                </w:p>
              </w:tc>
              <w:tc>
                <w:tcPr>
                  <w:tcW w:w="1162" w:type="pct"/>
                  <w:shd w:val="clear" w:color="auto" w:fill="auto"/>
                  <w:noWrap/>
                  <w:vAlign w:val="center"/>
                  <w:hideMark/>
                </w:tcPr>
                <w:p w14:paraId="350F8DDF" w14:textId="18C612D9"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Náklady na vstup</w:t>
                  </w:r>
                </w:p>
              </w:tc>
              <w:tc>
                <w:tcPr>
                  <w:tcW w:w="412" w:type="pct"/>
                  <w:shd w:val="clear" w:color="auto" w:fill="auto"/>
                  <w:noWrap/>
                  <w:vAlign w:val="center"/>
                  <w:hideMark/>
                </w:tcPr>
                <w:p w14:paraId="30C28007" w14:textId="7F41A983" w:rsidR="00670F7E" w:rsidRPr="00BF2058" w:rsidRDefault="00670F7E" w:rsidP="003A44D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1,</w:t>
                  </w:r>
                  <w:r w:rsidR="00261B60">
                    <w:rPr>
                      <w:rFonts w:ascii="Manrope" w:hAnsi="Manrope" w:cs="Calibri"/>
                      <w:color w:val="000000"/>
                      <w:sz w:val="16"/>
                      <w:szCs w:val="16"/>
                    </w:rPr>
                    <w:t>11</w:t>
                  </w:r>
                  <w:r w:rsidRPr="00BF2058">
                    <w:rPr>
                      <w:rFonts w:ascii="Manrope" w:hAnsi="Manrope" w:cs="Calibri"/>
                      <w:color w:val="000000"/>
                      <w:sz w:val="16"/>
                      <w:szCs w:val="16"/>
                    </w:rPr>
                    <w:t xml:space="preserve"> %</w:t>
                  </w:r>
                </w:p>
              </w:tc>
              <w:tc>
                <w:tcPr>
                  <w:tcW w:w="2646" w:type="pct"/>
                  <w:vAlign w:val="center"/>
                </w:tcPr>
                <w:p w14:paraId="394B0AE3" w14:textId="46C8A819" w:rsidR="00670F7E" w:rsidRPr="00BF2058" w:rsidRDefault="00670F7E" w:rsidP="003A44DB">
                  <w:pPr>
                    <w:framePr w:hSpace="141" w:wrap="around" w:vAnchor="text" w:hAnchor="text" w:y="1"/>
                    <w:suppressOverlap/>
                    <w:jc w:val="center"/>
                    <w:rPr>
                      <w:rFonts w:ascii="Manrope" w:hAnsi="Manrope" w:cs="Calibri"/>
                      <w:color w:val="FF0000"/>
                      <w:sz w:val="16"/>
                      <w:szCs w:val="16"/>
                    </w:rPr>
                  </w:pPr>
                  <w:r w:rsidRPr="00BF2058">
                    <w:rPr>
                      <w:rFonts w:ascii="Manrope" w:eastAsia="Arial Unicode MS" w:hAnsi="Manrope" w:cs="Arial Unicode MS"/>
                      <w:sz w:val="16"/>
                      <w:szCs w:val="16"/>
                    </w:rPr>
                    <w:t>Dopad nákladů, které zaplatíte při vstupu do investování</w:t>
                  </w:r>
                </w:p>
              </w:tc>
            </w:tr>
            <w:tr w:rsidR="00670F7E" w:rsidRPr="00BF2058" w14:paraId="670AB730" w14:textId="0EED8660" w:rsidTr="00670F7E">
              <w:trPr>
                <w:trHeight w:val="300"/>
              </w:trPr>
              <w:tc>
                <w:tcPr>
                  <w:tcW w:w="781" w:type="pct"/>
                  <w:vMerge/>
                  <w:vAlign w:val="center"/>
                  <w:hideMark/>
                </w:tcPr>
                <w:p w14:paraId="5CCC8A04" w14:textId="77777777"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2DD794F5" w14:textId="76FBB1DA"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Náklady na výstup</w:t>
                  </w:r>
                </w:p>
              </w:tc>
              <w:tc>
                <w:tcPr>
                  <w:tcW w:w="412" w:type="pct"/>
                  <w:shd w:val="clear" w:color="auto" w:fill="auto"/>
                  <w:noWrap/>
                  <w:vAlign w:val="center"/>
                  <w:hideMark/>
                </w:tcPr>
                <w:p w14:paraId="427A408A" w14:textId="2452973A" w:rsidR="00670F7E" w:rsidRPr="00BF2058" w:rsidRDefault="00670F7E" w:rsidP="003A44D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hAnsi="Manrope" w:cs="Calibri"/>
                      <w:color w:val="000000"/>
                      <w:sz w:val="16"/>
                      <w:szCs w:val="16"/>
                    </w:rPr>
                    <w:t>0,00 %</w:t>
                  </w:r>
                </w:p>
              </w:tc>
              <w:tc>
                <w:tcPr>
                  <w:tcW w:w="2646" w:type="pct"/>
                  <w:vAlign w:val="center"/>
                </w:tcPr>
                <w:p w14:paraId="4948D788" w14:textId="1ECD43C3" w:rsidR="00670F7E" w:rsidRPr="00BF2058" w:rsidRDefault="00670F7E" w:rsidP="003A44DB">
                  <w:pPr>
                    <w:framePr w:hSpace="141" w:wrap="around" w:vAnchor="text" w:hAnchor="text" w:y="1"/>
                    <w:spacing w:before="40" w:after="40"/>
                    <w:suppressOverlap/>
                    <w:jc w:val="center"/>
                    <w:rPr>
                      <w:rFonts w:ascii="Manrope" w:hAnsi="Manrope" w:cstheme="minorHAnsi"/>
                      <w:color w:val="FF0000"/>
                      <w:sz w:val="16"/>
                      <w:szCs w:val="16"/>
                    </w:rPr>
                  </w:pPr>
                  <w:r w:rsidRPr="00BF2058">
                    <w:rPr>
                      <w:rFonts w:ascii="Manrope" w:eastAsia="Arial Unicode MS" w:hAnsi="Manrope" w:cstheme="minorHAnsi"/>
                      <w:sz w:val="16"/>
                      <w:szCs w:val="16"/>
                    </w:rPr>
                    <w:t xml:space="preserve">Dopad nákladů při ukončení investice (Investiční horizont je  </w:t>
                  </w:r>
                  <w:sdt>
                    <w:sdtPr>
                      <w:rPr>
                        <w:rFonts w:ascii="Manrope" w:eastAsia="Arial Unicode MS" w:hAnsi="Manrope" w:cstheme="minorHAnsi"/>
                        <w:sz w:val="16"/>
                        <w:szCs w:val="16"/>
                      </w:rPr>
                      <w:id w:val="101929675"/>
                      <w:placeholder>
                        <w:docPart w:val="649789E89DEE4E3BB55CAE8D99766B8D"/>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746E16">
                        <w:rPr>
                          <w:rFonts w:ascii="Manrope" w:eastAsia="Arial Unicode MS" w:hAnsi="Manrope" w:cstheme="minorHAnsi"/>
                          <w:sz w:val="16"/>
                          <w:szCs w:val="16"/>
                        </w:rPr>
                        <w:t>5 let</w:t>
                      </w:r>
                    </w:sdtContent>
                  </w:sdt>
                  <w:r w:rsidRPr="00BF2058">
                    <w:rPr>
                      <w:rFonts w:ascii="Manrope" w:eastAsia="Arial Unicode MS" w:hAnsi="Manrope" w:cstheme="minorHAnsi"/>
                      <w:sz w:val="16"/>
                      <w:szCs w:val="16"/>
                    </w:rPr>
                    <w:t>)</w:t>
                  </w:r>
                </w:p>
              </w:tc>
            </w:tr>
            <w:tr w:rsidR="00670F7E" w:rsidRPr="00BF2058" w14:paraId="1D7A4D55" w14:textId="0A816143" w:rsidTr="00670F7E">
              <w:trPr>
                <w:trHeight w:val="300"/>
              </w:trPr>
              <w:tc>
                <w:tcPr>
                  <w:tcW w:w="781" w:type="pct"/>
                  <w:vMerge w:val="restart"/>
                  <w:shd w:val="clear" w:color="000000" w:fill="D9D9D9"/>
                  <w:noWrap/>
                  <w:vAlign w:val="center"/>
                  <w:hideMark/>
                </w:tcPr>
                <w:p w14:paraId="21228A1A" w14:textId="77777777"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Průběžné náklady</w:t>
                  </w:r>
                </w:p>
              </w:tc>
              <w:tc>
                <w:tcPr>
                  <w:tcW w:w="1162" w:type="pct"/>
                  <w:shd w:val="clear" w:color="auto" w:fill="auto"/>
                  <w:noWrap/>
                  <w:vAlign w:val="center"/>
                  <w:hideMark/>
                </w:tcPr>
                <w:p w14:paraId="4518BCDF" w14:textId="6CF3D64D"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Transakční náklady portfolia</w:t>
                  </w:r>
                </w:p>
              </w:tc>
              <w:tc>
                <w:tcPr>
                  <w:tcW w:w="412" w:type="pct"/>
                  <w:shd w:val="clear" w:color="auto" w:fill="auto"/>
                  <w:noWrap/>
                  <w:vAlign w:val="center"/>
                  <w:hideMark/>
                </w:tcPr>
                <w:p w14:paraId="61127E0B" w14:textId="0F805FB2" w:rsidR="00670F7E" w:rsidRPr="00BF2058" w:rsidRDefault="00670F7E" w:rsidP="003A44D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0,00 %</w:t>
                  </w:r>
                </w:p>
              </w:tc>
              <w:tc>
                <w:tcPr>
                  <w:tcW w:w="2646" w:type="pct"/>
                  <w:vAlign w:val="center"/>
                </w:tcPr>
                <w:p w14:paraId="207D0D8D" w14:textId="3ACDB408" w:rsidR="00670F7E" w:rsidRPr="00BF2058" w:rsidRDefault="00670F7E" w:rsidP="003A44DB">
                  <w:pPr>
                    <w:framePr w:hSpace="141" w:wrap="around" w:vAnchor="text" w:hAnchor="text" w:y="1"/>
                    <w:suppressOverlap/>
                    <w:jc w:val="center"/>
                    <w:rPr>
                      <w:rFonts w:ascii="Manrope" w:hAnsi="Manrope" w:cs="Calibri"/>
                      <w:color w:val="FF0000"/>
                      <w:sz w:val="16"/>
                      <w:szCs w:val="16"/>
                    </w:rPr>
                  </w:pPr>
                  <w:r w:rsidRPr="00BF2058">
                    <w:rPr>
                      <w:rFonts w:ascii="Manrope" w:eastAsia="Arial Unicode MS" w:hAnsi="Manrope" w:cs="Arial Unicode MS"/>
                      <w:sz w:val="16"/>
                      <w:szCs w:val="16"/>
                    </w:rPr>
                    <w:t>Dopad nákladů nákupů / prodejů podkladových aktiv</w:t>
                  </w:r>
                </w:p>
              </w:tc>
            </w:tr>
            <w:tr w:rsidR="00670F7E" w:rsidRPr="00BF2058" w14:paraId="2FD76D2E" w14:textId="787D9543" w:rsidTr="00670F7E">
              <w:trPr>
                <w:trHeight w:val="300"/>
              </w:trPr>
              <w:tc>
                <w:tcPr>
                  <w:tcW w:w="781" w:type="pct"/>
                  <w:vMerge/>
                  <w:vAlign w:val="center"/>
                  <w:hideMark/>
                </w:tcPr>
                <w:p w14:paraId="77F5677A" w14:textId="77777777"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1C8FBCF7" w14:textId="6171361E"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Jiné průběžné náklady</w:t>
                  </w:r>
                </w:p>
              </w:tc>
              <w:tc>
                <w:tcPr>
                  <w:tcW w:w="412" w:type="pct"/>
                  <w:shd w:val="clear" w:color="auto" w:fill="auto"/>
                  <w:noWrap/>
                  <w:vAlign w:val="center"/>
                </w:tcPr>
                <w:p w14:paraId="51511D21" w14:textId="2981BDA9" w:rsidR="00670F7E" w:rsidRPr="00BF2058" w:rsidRDefault="00746E16" w:rsidP="003A44DB">
                  <w:pPr>
                    <w:framePr w:hSpace="141" w:wrap="around" w:vAnchor="text" w:hAnchor="text" w:y="1"/>
                    <w:spacing w:before="40" w:after="40"/>
                    <w:suppressOverlap/>
                    <w:jc w:val="center"/>
                    <w:rPr>
                      <w:rFonts w:ascii="Manrope" w:hAnsi="Manrope"/>
                      <w:color w:val="FF0000"/>
                      <w:sz w:val="16"/>
                      <w:szCs w:val="16"/>
                      <w:lang w:eastAsia="cs-CZ"/>
                    </w:rPr>
                  </w:pPr>
                  <w:r>
                    <w:rPr>
                      <w:rFonts w:ascii="Manrope" w:hAnsi="Manrope" w:cs="Calibri"/>
                      <w:color w:val="000000"/>
                      <w:sz w:val="16"/>
                      <w:szCs w:val="16"/>
                    </w:rPr>
                    <w:t>3</w:t>
                  </w:r>
                  <w:r w:rsidR="00670F7E" w:rsidRPr="00BF2058">
                    <w:rPr>
                      <w:rFonts w:ascii="Manrope" w:hAnsi="Manrope" w:cs="Calibri"/>
                      <w:color w:val="000000"/>
                      <w:sz w:val="16"/>
                      <w:szCs w:val="16"/>
                    </w:rPr>
                    <w:t>,</w:t>
                  </w:r>
                  <w:r w:rsidR="00261B60">
                    <w:rPr>
                      <w:rFonts w:ascii="Manrope" w:hAnsi="Manrope" w:cs="Calibri"/>
                      <w:color w:val="000000"/>
                      <w:sz w:val="16"/>
                      <w:szCs w:val="16"/>
                    </w:rPr>
                    <w:t>28</w:t>
                  </w:r>
                  <w:r w:rsidR="00670F7E" w:rsidRPr="00BF2058">
                    <w:rPr>
                      <w:rFonts w:ascii="Manrope" w:hAnsi="Manrope" w:cs="Calibri"/>
                      <w:color w:val="000000"/>
                      <w:sz w:val="16"/>
                      <w:szCs w:val="16"/>
                    </w:rPr>
                    <w:t xml:space="preserve"> %</w:t>
                  </w:r>
                </w:p>
              </w:tc>
              <w:tc>
                <w:tcPr>
                  <w:tcW w:w="2646" w:type="pct"/>
                  <w:vAlign w:val="center"/>
                </w:tcPr>
                <w:p w14:paraId="04D430A4" w14:textId="39D9E3C5" w:rsidR="00670F7E" w:rsidRPr="00BF2058" w:rsidRDefault="00670F7E" w:rsidP="003A44D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eastAsia="Arial Unicode MS" w:hAnsi="Manrope" w:cs="Arial Unicode MS"/>
                      <w:sz w:val="16"/>
                      <w:szCs w:val="16"/>
                    </w:rPr>
                    <w:t>Dopad nákladů vynaložených na správu Fondu</w:t>
                  </w:r>
                </w:p>
              </w:tc>
            </w:tr>
            <w:tr w:rsidR="00670F7E" w:rsidRPr="00BF2058" w14:paraId="20F90671" w14:textId="5B5ABC73" w:rsidTr="00670F7E">
              <w:trPr>
                <w:trHeight w:val="300"/>
              </w:trPr>
              <w:tc>
                <w:tcPr>
                  <w:tcW w:w="781" w:type="pct"/>
                  <w:vMerge w:val="restart"/>
                  <w:shd w:val="clear" w:color="000000" w:fill="D9D9D9"/>
                  <w:noWrap/>
                  <w:vAlign w:val="center"/>
                  <w:hideMark/>
                </w:tcPr>
                <w:p w14:paraId="768450A7" w14:textId="77777777"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Vedlejší náklady</w:t>
                  </w:r>
                </w:p>
              </w:tc>
              <w:tc>
                <w:tcPr>
                  <w:tcW w:w="1162" w:type="pct"/>
                  <w:shd w:val="clear" w:color="auto" w:fill="auto"/>
                  <w:noWrap/>
                  <w:vAlign w:val="center"/>
                  <w:hideMark/>
                </w:tcPr>
                <w:p w14:paraId="4D1719CB" w14:textId="4F35F756" w:rsidR="00670F7E" w:rsidRPr="00BF2058" w:rsidRDefault="00670F7E" w:rsidP="003A44D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Výkonnostní poplatky</w:t>
                  </w:r>
                </w:p>
              </w:tc>
              <w:tc>
                <w:tcPr>
                  <w:tcW w:w="412" w:type="pct"/>
                  <w:shd w:val="clear" w:color="auto" w:fill="auto"/>
                  <w:noWrap/>
                  <w:vAlign w:val="center"/>
                </w:tcPr>
                <w:p w14:paraId="0A4555CB" w14:textId="21E440E4" w:rsidR="00670F7E" w:rsidRPr="00BF2058" w:rsidRDefault="00670F7E" w:rsidP="003A44D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0,00 %</w:t>
                  </w:r>
                </w:p>
              </w:tc>
              <w:tc>
                <w:tcPr>
                  <w:tcW w:w="2646" w:type="pct"/>
                  <w:vAlign w:val="center"/>
                </w:tcPr>
                <w:p w14:paraId="42FC5C72" w14:textId="7BA7BF35" w:rsidR="00670F7E" w:rsidRPr="00BF2058" w:rsidRDefault="00670F7E" w:rsidP="003A44DB">
                  <w:pPr>
                    <w:framePr w:hSpace="141" w:wrap="around" w:vAnchor="text" w:hAnchor="text" w:y="1"/>
                    <w:suppressOverlap/>
                    <w:jc w:val="center"/>
                    <w:rPr>
                      <w:rFonts w:ascii="Manrope" w:hAnsi="Manrope"/>
                      <w:color w:val="FF0000"/>
                      <w:sz w:val="16"/>
                      <w:szCs w:val="16"/>
                    </w:rPr>
                  </w:pPr>
                  <w:r w:rsidRPr="00BF2058">
                    <w:rPr>
                      <w:rFonts w:ascii="Manrope" w:eastAsia="Arial Unicode MS" w:hAnsi="Manrope" w:cs="Arial Unicode MS"/>
                      <w:sz w:val="16"/>
                      <w:szCs w:val="16"/>
                    </w:rPr>
                    <w:t>Dopad výkonnostního poplatku (Inkasujeme, pokud Fond překročil benchmark – svůj výkonnostní srovnávací ukazatel)</w:t>
                  </w:r>
                </w:p>
              </w:tc>
            </w:tr>
            <w:tr w:rsidR="00670F7E" w:rsidRPr="00BF2058" w14:paraId="5C7A3FDC" w14:textId="667364FE" w:rsidTr="00670F7E">
              <w:trPr>
                <w:trHeight w:val="315"/>
              </w:trPr>
              <w:tc>
                <w:tcPr>
                  <w:tcW w:w="781" w:type="pct"/>
                  <w:vMerge/>
                  <w:vAlign w:val="center"/>
                  <w:hideMark/>
                </w:tcPr>
                <w:p w14:paraId="0C78F1A6" w14:textId="77777777"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16DB238E" w14:textId="645E814C" w:rsidR="00670F7E" w:rsidRPr="00BF2058" w:rsidRDefault="00670F7E" w:rsidP="003A44D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Odměny za zhodnocení kapitálu</w:t>
                  </w:r>
                </w:p>
              </w:tc>
              <w:tc>
                <w:tcPr>
                  <w:tcW w:w="412" w:type="pct"/>
                  <w:shd w:val="clear" w:color="auto" w:fill="auto"/>
                  <w:noWrap/>
                  <w:vAlign w:val="center"/>
                </w:tcPr>
                <w:p w14:paraId="6FEFC58A" w14:textId="0B4D6A5F" w:rsidR="00670F7E" w:rsidRPr="00BF2058" w:rsidRDefault="00670F7E" w:rsidP="003A44D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hAnsi="Manrope" w:cs="Calibri"/>
                      <w:color w:val="000000"/>
                      <w:sz w:val="16"/>
                      <w:szCs w:val="16"/>
                    </w:rPr>
                    <w:t>0,</w:t>
                  </w:r>
                  <w:r w:rsidR="00746E16">
                    <w:rPr>
                      <w:rFonts w:ascii="Manrope" w:hAnsi="Manrope" w:cs="Calibri"/>
                      <w:color w:val="000000"/>
                      <w:sz w:val="16"/>
                      <w:szCs w:val="16"/>
                    </w:rPr>
                    <w:t>00</w:t>
                  </w:r>
                  <w:r w:rsidRPr="00BF2058">
                    <w:rPr>
                      <w:rFonts w:ascii="Manrope" w:hAnsi="Manrope" w:cs="Calibri"/>
                      <w:color w:val="000000"/>
                      <w:sz w:val="16"/>
                      <w:szCs w:val="16"/>
                    </w:rPr>
                    <w:t xml:space="preserve"> %</w:t>
                  </w:r>
                </w:p>
              </w:tc>
              <w:tc>
                <w:tcPr>
                  <w:tcW w:w="2646" w:type="pct"/>
                  <w:vAlign w:val="center"/>
                </w:tcPr>
                <w:p w14:paraId="73F64D78" w14:textId="3D8C454E" w:rsidR="00670F7E" w:rsidRPr="00BF2058" w:rsidRDefault="00670F7E" w:rsidP="003A44D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eastAsia="Arial Unicode MS" w:hAnsi="Manrope" w:cs="Arial Unicode MS"/>
                      <w:sz w:val="16"/>
                      <w:szCs w:val="16"/>
                    </w:rPr>
                    <w:t xml:space="preserve">Dopad odměny ze zhodnocení kapitálu (Inkasujeme, pokud výkonnost investice byla lepší než </w:t>
                  </w:r>
                  <w:r w:rsidR="00746E16">
                    <w:rPr>
                      <w:rFonts w:ascii="Manrope" w:eastAsia="Arial Unicode MS" w:hAnsi="Manrope" w:cs="Arial Unicode MS"/>
                      <w:sz w:val="16"/>
                      <w:szCs w:val="16"/>
                    </w:rPr>
                    <w:t>0</w:t>
                  </w:r>
                  <w:r w:rsidRPr="00BF2058">
                    <w:rPr>
                      <w:rFonts w:ascii="Manrope" w:eastAsia="Arial Unicode MS" w:hAnsi="Manrope" w:cs="Arial Unicode MS"/>
                      <w:sz w:val="16"/>
                      <w:szCs w:val="16"/>
                    </w:rPr>
                    <w:t xml:space="preserve"> %)</w:t>
                  </w:r>
                </w:p>
              </w:tc>
            </w:tr>
          </w:tbl>
          <w:p w14:paraId="58F0B728" w14:textId="77777777" w:rsidR="0064262B" w:rsidRPr="00BF2058" w:rsidRDefault="0064262B" w:rsidP="0064262B">
            <w:pPr>
              <w:pStyle w:val="Zkladntext"/>
              <w:spacing w:before="40" w:after="40"/>
              <w:jc w:val="both"/>
              <w:rPr>
                <w:rFonts w:ascii="Manrope" w:eastAsia="Arial Unicode MS" w:hAnsi="Manrope" w:cs="Arial Unicode MS"/>
                <w:i/>
                <w:sz w:val="16"/>
                <w:szCs w:val="16"/>
                <w:highlight w:val="yellow"/>
              </w:rPr>
            </w:pPr>
            <w:r w:rsidRPr="00BF2058">
              <w:rPr>
                <w:rFonts w:ascii="Manrope" w:eastAsia="Arial Unicode MS" w:hAnsi="Manrope" w:cs="Arial Unicode MS"/>
                <w:i/>
                <w:sz w:val="16"/>
                <w:szCs w:val="16"/>
                <w:highlight w:val="yellow"/>
              </w:rPr>
              <w:t xml:space="preserve"> </w:t>
            </w:r>
          </w:p>
        </w:tc>
      </w:tr>
      <w:tr w:rsidR="0064262B" w:rsidRPr="00BF2058" w14:paraId="6544DE89" w14:textId="77777777" w:rsidTr="000B314C">
        <w:trPr>
          <w:trHeight w:val="353"/>
        </w:trPr>
        <w:tc>
          <w:tcPr>
            <w:tcW w:w="10881" w:type="dxa"/>
            <w:gridSpan w:val="4"/>
            <w:vMerge/>
            <w:tcBorders>
              <w:left w:val="nil"/>
              <w:right w:val="nil"/>
            </w:tcBorders>
            <w:shd w:val="clear" w:color="auto" w:fill="D9D9D9" w:themeFill="background1" w:themeFillShade="D9"/>
            <w:vAlign w:val="center"/>
          </w:tcPr>
          <w:p w14:paraId="2A5C21E6" w14:textId="77777777" w:rsidR="0064262B" w:rsidRPr="00BF2058" w:rsidRDefault="0064262B" w:rsidP="0064262B">
            <w:pPr>
              <w:spacing w:before="40" w:after="40"/>
              <w:rPr>
                <w:rFonts w:ascii="Manrope" w:hAnsi="Manrope"/>
                <w:color w:val="000000"/>
                <w:sz w:val="20"/>
                <w:szCs w:val="20"/>
              </w:rPr>
            </w:pPr>
          </w:p>
        </w:tc>
      </w:tr>
      <w:tr w:rsidR="0064262B" w:rsidRPr="00BF2058" w14:paraId="7658B497" w14:textId="77777777" w:rsidTr="000B314C">
        <w:trPr>
          <w:trHeight w:val="353"/>
        </w:trPr>
        <w:tc>
          <w:tcPr>
            <w:tcW w:w="10881" w:type="dxa"/>
            <w:gridSpan w:val="4"/>
            <w:vMerge/>
            <w:tcBorders>
              <w:left w:val="nil"/>
              <w:right w:val="nil"/>
            </w:tcBorders>
            <w:shd w:val="clear" w:color="auto" w:fill="D9D9D9" w:themeFill="background1" w:themeFillShade="D9"/>
            <w:vAlign w:val="center"/>
          </w:tcPr>
          <w:p w14:paraId="1E1A243C" w14:textId="77777777" w:rsidR="0064262B" w:rsidRPr="00BF2058" w:rsidRDefault="0064262B" w:rsidP="0064262B">
            <w:pPr>
              <w:spacing w:before="40" w:after="40"/>
              <w:rPr>
                <w:rFonts w:ascii="Manrope" w:hAnsi="Manrope"/>
                <w:color w:val="000000"/>
                <w:sz w:val="20"/>
                <w:szCs w:val="20"/>
              </w:rPr>
            </w:pPr>
          </w:p>
        </w:tc>
      </w:tr>
      <w:tr w:rsidR="0064262B" w:rsidRPr="00BF2058" w14:paraId="17F4B073" w14:textId="77777777" w:rsidTr="000B314C">
        <w:trPr>
          <w:trHeight w:val="353"/>
        </w:trPr>
        <w:tc>
          <w:tcPr>
            <w:tcW w:w="10881" w:type="dxa"/>
            <w:gridSpan w:val="4"/>
            <w:vMerge/>
            <w:tcBorders>
              <w:left w:val="nil"/>
              <w:right w:val="nil"/>
            </w:tcBorders>
            <w:shd w:val="clear" w:color="auto" w:fill="D9D9D9" w:themeFill="background1" w:themeFillShade="D9"/>
            <w:vAlign w:val="center"/>
          </w:tcPr>
          <w:p w14:paraId="4414EF2E" w14:textId="77777777" w:rsidR="0064262B" w:rsidRPr="00BF2058" w:rsidRDefault="0064262B" w:rsidP="0064262B">
            <w:pPr>
              <w:spacing w:before="40" w:after="40"/>
              <w:rPr>
                <w:rFonts w:ascii="Manrope" w:hAnsi="Manrope"/>
                <w:color w:val="000000"/>
                <w:sz w:val="20"/>
                <w:szCs w:val="20"/>
              </w:rPr>
            </w:pPr>
          </w:p>
        </w:tc>
      </w:tr>
      <w:tr w:rsidR="0064262B" w:rsidRPr="00BF2058" w14:paraId="6244025C" w14:textId="77777777" w:rsidTr="000B314C">
        <w:trPr>
          <w:trHeight w:val="353"/>
        </w:trPr>
        <w:tc>
          <w:tcPr>
            <w:tcW w:w="10881" w:type="dxa"/>
            <w:gridSpan w:val="4"/>
            <w:vMerge/>
            <w:tcBorders>
              <w:left w:val="nil"/>
              <w:right w:val="nil"/>
            </w:tcBorders>
            <w:shd w:val="clear" w:color="auto" w:fill="D9D9D9" w:themeFill="background1" w:themeFillShade="D9"/>
            <w:vAlign w:val="center"/>
          </w:tcPr>
          <w:p w14:paraId="2121FBBA" w14:textId="77777777" w:rsidR="0064262B" w:rsidRPr="00BF2058" w:rsidRDefault="0064262B" w:rsidP="0064262B">
            <w:pPr>
              <w:spacing w:before="40" w:after="40"/>
              <w:rPr>
                <w:rFonts w:ascii="Manrope" w:hAnsi="Manrope"/>
                <w:color w:val="000000"/>
                <w:sz w:val="20"/>
                <w:szCs w:val="20"/>
              </w:rPr>
            </w:pPr>
          </w:p>
        </w:tc>
      </w:tr>
      <w:tr w:rsidR="0064262B" w:rsidRPr="00BF2058" w14:paraId="20A4B0A1" w14:textId="77777777" w:rsidTr="00BF2058">
        <w:trPr>
          <w:trHeight w:val="512"/>
        </w:trPr>
        <w:tc>
          <w:tcPr>
            <w:tcW w:w="10881" w:type="dxa"/>
            <w:gridSpan w:val="4"/>
            <w:vMerge/>
            <w:tcBorders>
              <w:left w:val="nil"/>
              <w:bottom w:val="single" w:sz="12" w:space="0" w:color="A6A6A6" w:themeColor="background1" w:themeShade="A6"/>
              <w:right w:val="nil"/>
            </w:tcBorders>
            <w:shd w:val="clear" w:color="auto" w:fill="D9D9D9" w:themeFill="background1" w:themeFillShade="D9"/>
            <w:vAlign w:val="center"/>
          </w:tcPr>
          <w:p w14:paraId="661B6CEB" w14:textId="77777777" w:rsidR="0064262B" w:rsidRPr="00BF2058" w:rsidRDefault="0064262B" w:rsidP="0064262B">
            <w:pPr>
              <w:spacing w:before="40" w:after="40"/>
              <w:rPr>
                <w:rFonts w:ascii="Manrope" w:hAnsi="Manrope"/>
                <w:color w:val="000000"/>
                <w:sz w:val="20"/>
                <w:szCs w:val="20"/>
              </w:rPr>
            </w:pPr>
          </w:p>
        </w:tc>
      </w:tr>
      <w:tr w:rsidR="00144D60" w:rsidRPr="00BF2058" w14:paraId="0BE07CAB" w14:textId="77777777" w:rsidTr="00173C39">
        <w:trPr>
          <w:trHeight w:val="293"/>
        </w:trPr>
        <w:tc>
          <w:tcPr>
            <w:tcW w:w="10881" w:type="dxa"/>
            <w:gridSpan w:val="4"/>
            <w:tcBorders>
              <w:left w:val="nil"/>
              <w:bottom w:val="single" w:sz="12" w:space="0" w:color="A6A6A6" w:themeColor="background1" w:themeShade="A6"/>
              <w:right w:val="nil"/>
            </w:tcBorders>
            <w:shd w:val="clear" w:color="auto" w:fill="F2F2F2" w:themeFill="background1" w:themeFillShade="F2"/>
            <w:vAlign w:val="center"/>
          </w:tcPr>
          <w:p w14:paraId="6D7DBD9F" w14:textId="6AD26D03" w:rsidR="00144D60" w:rsidRPr="00BF2058" w:rsidRDefault="00144D60" w:rsidP="0064262B">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bCs/>
                <w:sz w:val="18"/>
                <w:szCs w:val="18"/>
              </w:rPr>
              <w:t xml:space="preserve">Poradci, distributoři a všechny ostatní osoby, které poskytují poradenství o produktu nebo jej prodávají, poskytnou podrobné informace </w:t>
            </w:r>
            <w:r w:rsidR="00CE217E" w:rsidRPr="005A73F0">
              <w:rPr>
                <w:rFonts w:ascii="Manrope" w:eastAsia="Arial Unicode MS" w:hAnsi="Manrope" w:cs="Arial Unicode MS"/>
                <w:bCs/>
                <w:sz w:val="18"/>
                <w:szCs w:val="18"/>
              </w:rPr>
              <w:t>o veškerých</w:t>
            </w:r>
            <w:r w:rsidRPr="005A73F0">
              <w:rPr>
                <w:rFonts w:ascii="Manrope" w:eastAsia="Arial Unicode MS" w:hAnsi="Manrope" w:cs="Arial Unicode MS"/>
                <w:bCs/>
                <w:sz w:val="18"/>
                <w:szCs w:val="18"/>
              </w:rPr>
              <w:t xml:space="preserve"> nákladech spojených s distribucí, jež nebyly zahrnuty do výše uvedených nákladů, tak aby Vám umožnili pochopit kumulativní účinek souhrnných nákladů na návratnosti investice.</w:t>
            </w:r>
          </w:p>
        </w:tc>
      </w:tr>
      <w:tr w:rsidR="00ED2B7D" w:rsidRPr="00BF2058" w14:paraId="7A613B84" w14:textId="77777777" w:rsidTr="00173C39">
        <w:tc>
          <w:tcPr>
            <w:tcW w:w="10881" w:type="dxa"/>
            <w:gridSpan w:val="4"/>
            <w:tcBorders>
              <w:top w:val="single" w:sz="12" w:space="0" w:color="A6A6A6" w:themeColor="background1" w:themeShade="A6"/>
              <w:left w:val="nil"/>
              <w:bottom w:val="nil"/>
              <w:right w:val="nil"/>
            </w:tcBorders>
            <w:shd w:val="clear" w:color="auto" w:fill="auto"/>
            <w:vAlign w:val="center"/>
          </w:tcPr>
          <w:p w14:paraId="6918E049"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Jak dlouho bych měl investici držet? Mohu si peníze vybrat předčasně?</w:t>
            </w:r>
          </w:p>
        </w:tc>
      </w:tr>
      <w:tr w:rsidR="00ED2B7D" w:rsidRPr="00BF2058" w14:paraId="34057425" w14:textId="77777777" w:rsidTr="00173C39">
        <w:tc>
          <w:tcPr>
            <w:tcW w:w="10881" w:type="dxa"/>
            <w:gridSpan w:val="4"/>
            <w:tcBorders>
              <w:top w:val="nil"/>
              <w:left w:val="nil"/>
              <w:bottom w:val="nil"/>
              <w:right w:val="nil"/>
            </w:tcBorders>
            <w:shd w:val="clear" w:color="auto" w:fill="EAEAEA"/>
            <w:vAlign w:val="center"/>
          </w:tcPr>
          <w:p w14:paraId="7F351F79" w14:textId="4C50CB79" w:rsidR="00ED2B7D" w:rsidRPr="00746E16" w:rsidRDefault="00333D59" w:rsidP="006E3B6F">
            <w:pPr>
              <w:pStyle w:val="Zkladntext"/>
              <w:spacing w:before="40" w:after="40"/>
              <w:jc w:val="both"/>
              <w:rPr>
                <w:rFonts w:ascii="Manrope" w:eastAsia="Arial Unicode MS" w:hAnsi="Manrope" w:cs="Arial Unicode MS"/>
                <w:b/>
                <w:sz w:val="18"/>
                <w:szCs w:val="18"/>
              </w:rPr>
            </w:pPr>
            <w:r w:rsidRPr="00746E16">
              <w:rPr>
                <w:rFonts w:ascii="Manrope" w:eastAsia="Arial Unicode MS" w:hAnsi="Manrope" w:cs="Arial Unicode MS"/>
                <w:b/>
                <w:sz w:val="18"/>
                <w:szCs w:val="18"/>
              </w:rPr>
              <w:t>Investiční horizont</w:t>
            </w:r>
            <w:r w:rsidR="00271225" w:rsidRPr="00746E16">
              <w:rPr>
                <w:rFonts w:ascii="Manrope" w:eastAsia="Arial Unicode MS" w:hAnsi="Manrope" w:cs="Arial Unicode MS"/>
                <w:b/>
                <w:sz w:val="18"/>
                <w:szCs w:val="18"/>
              </w:rPr>
              <w:t xml:space="preserve"> je</w:t>
            </w:r>
            <w:r w:rsidR="00271225" w:rsidRPr="00746E16">
              <w:rPr>
                <w:rFonts w:ascii="Manrope" w:eastAsia="Arial Unicode MS" w:hAnsi="Manrope" w:cstheme="minorHAnsi"/>
                <w:sz w:val="18"/>
                <w:szCs w:val="18"/>
              </w:rPr>
              <w:t xml:space="preserve"> </w:t>
            </w:r>
            <w:sdt>
              <w:sdtPr>
                <w:rPr>
                  <w:rFonts w:ascii="Manrope" w:eastAsia="Arial Unicode MS" w:hAnsi="Manrope" w:cstheme="minorHAnsi"/>
                  <w:sz w:val="18"/>
                  <w:szCs w:val="18"/>
                </w:rPr>
                <w:id w:val="1462220878"/>
                <w:placeholder>
                  <w:docPart w:val="050E83BC497645C29837C466EC1822AF"/>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746E16" w:rsidRPr="00746E16">
                  <w:rPr>
                    <w:rFonts w:ascii="Manrope" w:eastAsia="Arial Unicode MS" w:hAnsi="Manrope" w:cstheme="minorHAnsi"/>
                    <w:sz w:val="18"/>
                    <w:szCs w:val="18"/>
                  </w:rPr>
                  <w:t>5 let</w:t>
                </w:r>
              </w:sdtContent>
            </w:sdt>
            <w:r w:rsidR="00ED2B7D" w:rsidRPr="00746E16">
              <w:rPr>
                <w:rFonts w:ascii="Manrope" w:eastAsia="Arial Unicode MS" w:hAnsi="Manrope" w:cs="Arial Unicode MS"/>
                <w:sz w:val="18"/>
                <w:szCs w:val="18"/>
              </w:rPr>
              <w:t xml:space="preserve"> </w:t>
            </w:r>
            <w:r w:rsidR="00746E16">
              <w:rPr>
                <w:rFonts w:ascii="Manrope" w:eastAsia="Arial Unicode MS" w:hAnsi="Manrope" w:cs="Arial Unicode MS"/>
                <w:sz w:val="18"/>
                <w:szCs w:val="18"/>
              </w:rPr>
              <w:t xml:space="preserve">, a </w:t>
            </w:r>
            <w:r w:rsidR="00ED2B7D" w:rsidRPr="00746E16">
              <w:rPr>
                <w:rFonts w:ascii="Manrope" w:eastAsia="Arial Unicode MS" w:hAnsi="Manrope" w:cs="Arial Unicode MS"/>
                <w:sz w:val="18"/>
                <w:szCs w:val="18"/>
              </w:rPr>
              <w:t>to s ohledem na charakter aktiv, do kterých Fond investuje.</w:t>
            </w:r>
          </w:p>
        </w:tc>
      </w:tr>
      <w:tr w:rsidR="00ED2B7D" w:rsidRPr="00BF2058" w14:paraId="175CD912" w14:textId="77777777" w:rsidTr="00173C39">
        <w:tc>
          <w:tcPr>
            <w:tcW w:w="10881" w:type="dxa"/>
            <w:gridSpan w:val="4"/>
            <w:tcBorders>
              <w:top w:val="nil"/>
              <w:left w:val="nil"/>
              <w:bottom w:val="nil"/>
              <w:right w:val="nil"/>
            </w:tcBorders>
            <w:shd w:val="clear" w:color="auto" w:fill="EAEAEA"/>
            <w:vAlign w:val="center"/>
          </w:tcPr>
          <w:p w14:paraId="50458DC7" w14:textId="77777777" w:rsidR="00ED2B7D" w:rsidRPr="00746E16" w:rsidRDefault="00ED2B7D" w:rsidP="0064262B">
            <w:pPr>
              <w:pStyle w:val="Zkladntext"/>
              <w:spacing w:before="40" w:after="40"/>
              <w:jc w:val="both"/>
              <w:rPr>
                <w:rFonts w:ascii="Manrope" w:eastAsia="Arial Unicode MS" w:hAnsi="Manrope" w:cs="Arial Unicode MS"/>
                <w:b/>
                <w:sz w:val="18"/>
                <w:szCs w:val="18"/>
              </w:rPr>
            </w:pPr>
            <w:r w:rsidRPr="00746E16">
              <w:rPr>
                <w:rFonts w:ascii="Manrope" w:eastAsia="Arial Unicode MS" w:hAnsi="Manrope" w:cs="Arial Unicode MS"/>
                <w:b/>
                <w:sz w:val="18"/>
                <w:szCs w:val="18"/>
              </w:rPr>
              <w:t>Možnosti a podmínky zrušení investice před její splatností</w:t>
            </w:r>
          </w:p>
        </w:tc>
      </w:tr>
      <w:tr w:rsidR="00ED2B7D" w:rsidRPr="00BF2058" w14:paraId="0703F62D" w14:textId="77777777" w:rsidTr="00173C39">
        <w:tc>
          <w:tcPr>
            <w:tcW w:w="10881" w:type="dxa"/>
            <w:gridSpan w:val="4"/>
            <w:tcBorders>
              <w:top w:val="nil"/>
              <w:left w:val="nil"/>
              <w:bottom w:val="nil"/>
              <w:right w:val="nil"/>
            </w:tcBorders>
            <w:shd w:val="clear" w:color="auto" w:fill="F2F2F2" w:themeFill="background1" w:themeFillShade="F2"/>
            <w:vAlign w:val="center"/>
          </w:tcPr>
          <w:p w14:paraId="60004FD8" w14:textId="77777777"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Investor je oprávněn odprodat investici i před uplynutím doporučené doby držení.</w:t>
            </w:r>
          </w:p>
        </w:tc>
      </w:tr>
      <w:tr w:rsidR="00ED2B7D" w:rsidRPr="00BF2058" w14:paraId="0D6CF98C" w14:textId="77777777" w:rsidTr="00173C39">
        <w:tc>
          <w:tcPr>
            <w:tcW w:w="10881" w:type="dxa"/>
            <w:gridSpan w:val="4"/>
            <w:tcBorders>
              <w:top w:val="nil"/>
              <w:left w:val="nil"/>
              <w:bottom w:val="single" w:sz="12" w:space="0" w:color="A6A6A6" w:themeColor="background1" w:themeShade="A6"/>
              <w:right w:val="nil"/>
            </w:tcBorders>
            <w:shd w:val="clear" w:color="auto" w:fill="F2F2F2" w:themeFill="background1" w:themeFillShade="F2"/>
            <w:vAlign w:val="center"/>
          </w:tcPr>
          <w:p w14:paraId="4D749B0C" w14:textId="438EA202" w:rsidR="00ED2B7D" w:rsidRPr="005A73F0" w:rsidRDefault="002C05ED" w:rsidP="006E3B6F">
            <w:pPr>
              <w:pStyle w:val="Zkladntext"/>
              <w:spacing w:before="40" w:after="40"/>
              <w:jc w:val="both"/>
              <w:rPr>
                <w:rFonts w:ascii="Manrope" w:eastAsia="Arial Unicode MS" w:hAnsi="Manrope" w:cs="Arial Unicode MS"/>
                <w:sz w:val="18"/>
                <w:szCs w:val="18"/>
              </w:rPr>
            </w:pPr>
            <w:r w:rsidRPr="002C05ED">
              <w:rPr>
                <w:rFonts w:ascii="Manrope" w:eastAsia="Arial Unicode MS" w:hAnsi="Manrope" w:cs="Arial Unicode MS"/>
                <w:sz w:val="18"/>
                <w:szCs w:val="18"/>
              </w:rPr>
              <w:t xml:space="preserve">V důsledku odkoupení investice před uplynutím doporučené doby držení může Společnost uplatnit výstupní srážku </w:t>
            </w:r>
            <w:r w:rsidR="002E5ED8">
              <w:rPr>
                <w:rFonts w:ascii="Manrope" w:eastAsia="Arial Unicode MS" w:hAnsi="Manrope" w:cs="Arial Unicode MS"/>
                <w:sz w:val="18"/>
                <w:szCs w:val="18"/>
              </w:rPr>
              <w:t xml:space="preserve">až </w:t>
            </w:r>
            <w:r w:rsidRPr="002C05ED">
              <w:rPr>
                <w:rFonts w:ascii="Manrope" w:eastAsia="Arial Unicode MS" w:hAnsi="Manrope" w:cs="Arial Unicode MS"/>
                <w:sz w:val="18"/>
                <w:szCs w:val="18"/>
              </w:rPr>
              <w:t>40 % z hodnoty odkupovaných cenných papírů (viz předchozí oddíl tohoto dokumentu).</w:t>
            </w:r>
          </w:p>
        </w:tc>
      </w:tr>
      <w:tr w:rsidR="00ED2B7D" w:rsidRPr="00BF2058" w14:paraId="3D68B693" w14:textId="77777777" w:rsidTr="00173C39">
        <w:tc>
          <w:tcPr>
            <w:tcW w:w="10881" w:type="dxa"/>
            <w:gridSpan w:val="4"/>
            <w:tcBorders>
              <w:top w:val="single" w:sz="12" w:space="0" w:color="A6A6A6" w:themeColor="background1" w:themeShade="A6"/>
              <w:left w:val="nil"/>
              <w:bottom w:val="nil"/>
              <w:right w:val="nil"/>
            </w:tcBorders>
            <w:shd w:val="clear" w:color="auto" w:fill="auto"/>
            <w:vAlign w:val="center"/>
          </w:tcPr>
          <w:p w14:paraId="28AE2FB3" w14:textId="77777777" w:rsidR="00ED2B7D" w:rsidRPr="00BF2058" w:rsidRDefault="00ED2B7D" w:rsidP="0064262B">
            <w:pPr>
              <w:spacing w:before="40" w:after="40"/>
              <w:jc w:val="both"/>
              <w:rPr>
                <w:rFonts w:ascii="Manrope" w:eastAsia="Arial Unicode MS" w:hAnsi="Manrope" w:cs="Arial Unicode MS"/>
                <w:sz w:val="20"/>
                <w:szCs w:val="20"/>
              </w:rPr>
            </w:pPr>
            <w:r w:rsidRPr="00BF2058">
              <w:rPr>
                <w:rFonts w:ascii="Manrope" w:eastAsia="Arial Unicode MS" w:hAnsi="Manrope" w:cs="Arial Unicode MS"/>
                <w:b/>
                <w:color w:val="C61E58"/>
                <w:sz w:val="20"/>
                <w:szCs w:val="20"/>
              </w:rPr>
              <w:t>Jakým způsobem mohu podat stížnost?</w:t>
            </w:r>
          </w:p>
        </w:tc>
      </w:tr>
      <w:tr w:rsidR="00ED2B7D" w:rsidRPr="00BF2058" w14:paraId="7540CDBC" w14:textId="77777777" w:rsidTr="00173C39">
        <w:tc>
          <w:tcPr>
            <w:tcW w:w="10881" w:type="dxa"/>
            <w:gridSpan w:val="4"/>
            <w:tcBorders>
              <w:top w:val="nil"/>
              <w:left w:val="nil"/>
              <w:bottom w:val="nil"/>
              <w:right w:val="nil"/>
            </w:tcBorders>
            <w:shd w:val="clear" w:color="auto" w:fill="F2F2F2" w:themeFill="background1" w:themeFillShade="F2"/>
            <w:vAlign w:val="center"/>
          </w:tcPr>
          <w:p w14:paraId="7531095B" w14:textId="77777777"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Stížnost nebo reklamaci ohledně produktu lze podat písemně (poštou nebo emailem), telefonicky nebo osobně na níže uvedené kontaktní údaje:</w:t>
            </w:r>
          </w:p>
        </w:tc>
      </w:tr>
      <w:tr w:rsidR="00ED2B7D" w:rsidRPr="00BF2058" w14:paraId="6CE5D321" w14:textId="77777777" w:rsidTr="00284A0C">
        <w:trPr>
          <w:trHeight w:val="723"/>
        </w:trPr>
        <w:tc>
          <w:tcPr>
            <w:tcW w:w="10881" w:type="dxa"/>
            <w:gridSpan w:val="4"/>
            <w:tcBorders>
              <w:top w:val="nil"/>
              <w:left w:val="nil"/>
              <w:bottom w:val="nil"/>
              <w:right w:val="nil"/>
            </w:tcBorders>
            <w:shd w:val="clear" w:color="auto" w:fill="F2F2F2" w:themeFill="background1" w:themeFillShade="F2"/>
            <w:vAlign w:val="center"/>
          </w:tcPr>
          <w:p w14:paraId="522191DE" w14:textId="2D9627A2" w:rsidR="007F1CD4" w:rsidRPr="005A73F0" w:rsidRDefault="007F1CD4" w:rsidP="0064262B">
            <w:pPr>
              <w:pStyle w:val="Zkladntext"/>
              <w:spacing w:before="40" w:after="40"/>
              <w:jc w:val="both"/>
              <w:rPr>
                <w:rFonts w:ascii="Manrope" w:eastAsia="Arial Unicode MS" w:hAnsi="Manrope" w:cs="Arial Unicode MS"/>
                <w:sz w:val="18"/>
                <w:szCs w:val="18"/>
              </w:rPr>
            </w:pPr>
            <w:r w:rsidRPr="007F1CD4">
              <w:rPr>
                <w:rFonts w:ascii="Manrope" w:eastAsia="Arial Unicode MS" w:hAnsi="Manrope" w:cs="Arial Unicode MS"/>
                <w:sz w:val="18"/>
                <w:szCs w:val="18"/>
              </w:rPr>
              <w:t>Osobně nebo písemně na adrese: CARDUUS Asset</w:t>
            </w:r>
            <w:r>
              <w:rPr>
                <w:rFonts w:ascii="Manrope" w:eastAsia="Arial Unicode MS" w:hAnsi="Manrope" w:cs="Arial Unicode MS"/>
                <w:sz w:val="18"/>
                <w:szCs w:val="18"/>
              </w:rPr>
              <w:t xml:space="preserve"> </w:t>
            </w:r>
            <w:r w:rsidRPr="007F1CD4">
              <w:rPr>
                <w:rFonts w:ascii="Manrope" w:eastAsia="Arial Unicode MS" w:hAnsi="Manrope" w:cs="Arial Unicode MS"/>
                <w:sz w:val="18"/>
                <w:szCs w:val="18"/>
              </w:rPr>
              <w:t>Management, investiční společnost, a.s.se sídlem náměstí 14. října 642/17, Smíchov, 150 00 Praha 5</w:t>
            </w:r>
          </w:p>
        </w:tc>
      </w:tr>
      <w:tr w:rsidR="00ED2B7D" w:rsidRPr="00BF2058" w14:paraId="07048A64" w14:textId="77777777" w:rsidTr="00284A0C">
        <w:tc>
          <w:tcPr>
            <w:tcW w:w="4536" w:type="dxa"/>
            <w:tcBorders>
              <w:top w:val="nil"/>
              <w:left w:val="nil"/>
              <w:bottom w:val="single" w:sz="12" w:space="0" w:color="A6A6A6" w:themeColor="background1" w:themeShade="A6"/>
              <w:right w:val="nil"/>
            </w:tcBorders>
            <w:shd w:val="clear" w:color="auto" w:fill="F2F2F2" w:themeFill="background1" w:themeFillShade="F2"/>
            <w:vAlign w:val="center"/>
          </w:tcPr>
          <w:p w14:paraId="47E17EE4" w14:textId="5A679706"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Telefonicky: </w:t>
            </w:r>
            <w:r w:rsidR="00431971" w:rsidRPr="005A73F0">
              <w:rPr>
                <w:rFonts w:ascii="Manrope" w:eastAsia="Arial Unicode MS" w:hAnsi="Manrope" w:cs="Arial Unicode MS"/>
                <w:sz w:val="18"/>
                <w:szCs w:val="18"/>
                <w:lang w:val="x-none"/>
              </w:rPr>
              <w:t>+420 </w:t>
            </w:r>
            <w:r w:rsidR="00431971" w:rsidRPr="005A73F0">
              <w:rPr>
                <w:rFonts w:ascii="Manrope" w:eastAsia="Arial Unicode MS" w:hAnsi="Manrope" w:cs="Arial Unicode MS"/>
                <w:sz w:val="18"/>
                <w:szCs w:val="18"/>
              </w:rPr>
              <w:t>22</w:t>
            </w:r>
            <w:r w:rsidR="007F1CD4">
              <w:rPr>
                <w:rFonts w:ascii="Manrope" w:eastAsia="Arial Unicode MS" w:hAnsi="Manrope" w:cs="Arial Unicode MS"/>
                <w:sz w:val="18"/>
                <w:szCs w:val="18"/>
              </w:rPr>
              <w:t>2</w:t>
            </w:r>
            <w:r w:rsidR="00431971" w:rsidRPr="005A73F0">
              <w:rPr>
                <w:rFonts w:ascii="Manrope" w:eastAsia="Arial Unicode MS" w:hAnsi="Manrope" w:cs="Arial Unicode MS"/>
                <w:sz w:val="18"/>
                <w:szCs w:val="18"/>
              </w:rPr>
              <w:t> </w:t>
            </w:r>
            <w:r w:rsidR="007F1CD4">
              <w:rPr>
                <w:rFonts w:ascii="Manrope" w:eastAsia="Arial Unicode MS" w:hAnsi="Manrope" w:cs="Arial Unicode MS"/>
                <w:sz w:val="18"/>
                <w:szCs w:val="18"/>
              </w:rPr>
              <w:t>745</w:t>
            </w:r>
            <w:r w:rsidR="00CC07A5" w:rsidRPr="005A73F0">
              <w:rPr>
                <w:rFonts w:ascii="Manrope" w:eastAsia="Arial Unicode MS" w:hAnsi="Manrope" w:cs="Arial Unicode MS"/>
                <w:sz w:val="18"/>
                <w:szCs w:val="18"/>
              </w:rPr>
              <w:t xml:space="preserve"> </w:t>
            </w:r>
            <w:r w:rsidR="007F1CD4">
              <w:rPr>
                <w:rFonts w:ascii="Manrope" w:eastAsia="Arial Unicode MS" w:hAnsi="Manrope" w:cs="Arial Unicode MS"/>
                <w:sz w:val="18"/>
                <w:szCs w:val="18"/>
              </w:rPr>
              <w:t>745</w:t>
            </w:r>
            <w:r w:rsidR="00431971" w:rsidRPr="005A73F0">
              <w:rPr>
                <w:rFonts w:ascii="Manrope" w:eastAsia="Arial Unicode MS" w:hAnsi="Manrope" w:cs="Arial Unicode MS"/>
                <w:sz w:val="18"/>
                <w:szCs w:val="18"/>
              </w:rPr>
              <w:t xml:space="preserve"> </w:t>
            </w:r>
          </w:p>
        </w:tc>
        <w:tc>
          <w:tcPr>
            <w:tcW w:w="2828" w:type="dxa"/>
            <w:gridSpan w:val="2"/>
            <w:tcBorders>
              <w:top w:val="nil"/>
              <w:left w:val="nil"/>
              <w:bottom w:val="single" w:sz="12" w:space="0" w:color="A6A6A6" w:themeColor="background1" w:themeShade="A6"/>
              <w:right w:val="nil"/>
            </w:tcBorders>
            <w:shd w:val="clear" w:color="auto" w:fill="F2F2F2" w:themeFill="background1" w:themeFillShade="F2"/>
            <w:vAlign w:val="center"/>
          </w:tcPr>
          <w:p w14:paraId="30CDCBDE" w14:textId="47692128"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E-mailem:</w:t>
            </w:r>
            <w:r w:rsidR="007F1CD4">
              <w:t xml:space="preserve"> </w:t>
            </w:r>
            <w:r w:rsidR="007F1CD4" w:rsidRPr="007F1CD4">
              <w:rPr>
                <w:rFonts w:ascii="Manrope" w:eastAsia="Arial Unicode MS" w:hAnsi="Manrope" w:cs="Arial Unicode MS"/>
                <w:sz w:val="18"/>
                <w:szCs w:val="18"/>
              </w:rPr>
              <w:t>office@carduus.cz</w:t>
            </w:r>
          </w:p>
        </w:tc>
        <w:tc>
          <w:tcPr>
            <w:tcW w:w="3517" w:type="dxa"/>
            <w:tcBorders>
              <w:top w:val="nil"/>
              <w:left w:val="nil"/>
              <w:bottom w:val="single" w:sz="12" w:space="0" w:color="A6A6A6" w:themeColor="background1" w:themeShade="A6"/>
              <w:right w:val="nil"/>
            </w:tcBorders>
            <w:shd w:val="clear" w:color="auto" w:fill="F2F2F2" w:themeFill="background1" w:themeFillShade="F2"/>
            <w:vAlign w:val="center"/>
          </w:tcPr>
          <w:p w14:paraId="6212D1B9" w14:textId="4987CE10"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Web: </w:t>
            </w:r>
            <w:hyperlink r:id="rId9" w:history="1">
              <w:r w:rsidR="00284A0C" w:rsidRPr="009C5D76">
                <w:rPr>
                  <w:rStyle w:val="Hypertextovodkaz"/>
                  <w:rFonts w:ascii="Manrope" w:eastAsia="Arial Unicode MS" w:hAnsi="Manrope" w:cs="Arial Unicode MS"/>
                  <w:sz w:val="18"/>
                  <w:szCs w:val="18"/>
                </w:rPr>
                <w:t>www.carduus.cz</w:t>
              </w:r>
            </w:hyperlink>
            <w:r w:rsidR="00431971" w:rsidRPr="005A73F0">
              <w:rPr>
                <w:rFonts w:ascii="Manrope" w:eastAsia="Arial Unicode MS" w:hAnsi="Manrope" w:cs="Arial Unicode MS"/>
                <w:sz w:val="18"/>
                <w:szCs w:val="18"/>
              </w:rPr>
              <w:t xml:space="preserve"> </w:t>
            </w:r>
          </w:p>
        </w:tc>
      </w:tr>
      <w:tr w:rsidR="00ED2B7D" w:rsidRPr="00BF2058" w14:paraId="61CF0735" w14:textId="77777777" w:rsidTr="00173C39">
        <w:tc>
          <w:tcPr>
            <w:tcW w:w="10881" w:type="dxa"/>
            <w:gridSpan w:val="4"/>
            <w:tcBorders>
              <w:top w:val="single" w:sz="12" w:space="0" w:color="A6A6A6" w:themeColor="background1" w:themeShade="A6"/>
              <w:left w:val="nil"/>
              <w:bottom w:val="nil"/>
              <w:right w:val="nil"/>
            </w:tcBorders>
            <w:shd w:val="clear" w:color="auto" w:fill="F2F2F2" w:themeFill="background1" w:themeFillShade="F2"/>
            <w:vAlign w:val="center"/>
          </w:tcPr>
          <w:p w14:paraId="543DCC2F"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Jiné relevantní informace</w:t>
            </w:r>
          </w:p>
        </w:tc>
      </w:tr>
      <w:tr w:rsidR="00ED2B7D" w:rsidRPr="00BF2058" w14:paraId="64B9C56A" w14:textId="77777777" w:rsidTr="00173C39">
        <w:tc>
          <w:tcPr>
            <w:tcW w:w="10881" w:type="dxa"/>
            <w:gridSpan w:val="4"/>
            <w:tcBorders>
              <w:top w:val="nil"/>
              <w:left w:val="nil"/>
              <w:bottom w:val="nil"/>
              <w:right w:val="nil"/>
            </w:tcBorders>
            <w:shd w:val="clear" w:color="auto" w:fill="F2F2F2" w:themeFill="background1" w:themeFillShade="F2"/>
            <w:vAlign w:val="center"/>
          </w:tcPr>
          <w:p w14:paraId="5E5457D1" w14:textId="0775C023" w:rsidR="00ED2B7D" w:rsidRPr="00BF2058" w:rsidRDefault="00ED2B7D" w:rsidP="00271225">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Na žádost Vám budou Společností poskytnuty v</w:t>
            </w:r>
            <w:r w:rsidR="009169B7" w:rsidRPr="005A73F0">
              <w:rPr>
                <w:rFonts w:ascii="Manrope" w:eastAsia="Arial Unicode MS" w:hAnsi="Manrope" w:cs="Arial Unicode MS"/>
                <w:sz w:val="18"/>
                <w:szCs w:val="18"/>
              </w:rPr>
              <w:t> e</w:t>
            </w:r>
            <w:r w:rsidRPr="005A73F0">
              <w:rPr>
                <w:rFonts w:ascii="Manrope" w:eastAsia="Arial Unicode MS" w:hAnsi="Manrope" w:cs="Arial Unicode MS"/>
                <w:sz w:val="18"/>
                <w:szCs w:val="18"/>
              </w:rPr>
              <w:t xml:space="preserve">lektronické </w:t>
            </w:r>
            <w:r w:rsidR="009169B7" w:rsidRPr="005A73F0">
              <w:rPr>
                <w:rFonts w:ascii="Manrope" w:eastAsia="Arial Unicode MS" w:hAnsi="Manrope" w:cs="Arial Unicode MS"/>
                <w:sz w:val="18"/>
                <w:szCs w:val="18"/>
              </w:rPr>
              <w:t xml:space="preserve">nebo vytištěné </w:t>
            </w:r>
            <w:r w:rsidRPr="005A73F0">
              <w:rPr>
                <w:rFonts w:ascii="Manrope" w:eastAsia="Arial Unicode MS" w:hAnsi="Manrope" w:cs="Arial Unicode MS"/>
                <w:sz w:val="18"/>
                <w:szCs w:val="18"/>
              </w:rPr>
              <w:t>podobě statut Fondu a poslední</w:t>
            </w:r>
            <w:r w:rsidR="009169B7" w:rsidRPr="005A73F0">
              <w:rPr>
                <w:rFonts w:ascii="Manrope" w:eastAsia="Arial Unicode MS" w:hAnsi="Manrope" w:cs="Arial Unicode MS"/>
                <w:sz w:val="18"/>
                <w:szCs w:val="18"/>
              </w:rPr>
              <w:t xml:space="preserve"> uveřejněná výroční zpráva Fondu</w:t>
            </w:r>
            <w:r w:rsidRPr="005A73F0">
              <w:rPr>
                <w:rFonts w:ascii="Manrope" w:eastAsia="Arial Unicode MS" w:hAnsi="Manrope" w:cs="Arial Unicode MS"/>
                <w:sz w:val="18"/>
                <w:szCs w:val="18"/>
              </w:rPr>
              <w:t>.</w:t>
            </w:r>
          </w:p>
        </w:tc>
      </w:tr>
    </w:tbl>
    <w:p w14:paraId="394599C7" w14:textId="77777777" w:rsidR="00A83488" w:rsidRPr="00BF2058" w:rsidRDefault="00A83488" w:rsidP="00BF2058">
      <w:pPr>
        <w:rPr>
          <w:rFonts w:ascii="Manrope" w:hAnsi="Manrope"/>
          <w:sz w:val="20"/>
          <w:szCs w:val="20"/>
        </w:rPr>
      </w:pPr>
    </w:p>
    <w:sectPr w:rsidR="00A83488" w:rsidRPr="00BF2058" w:rsidSect="005A73F0">
      <w:headerReference w:type="default" r:id="rId10"/>
      <w:footerReference w:type="default" r:id="rId11"/>
      <w:pgSz w:w="11906" w:h="16838"/>
      <w:pgMar w:top="1418" w:right="707" w:bottom="426"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B468" w14:textId="77777777" w:rsidR="00436F30" w:rsidRDefault="00436F30" w:rsidP="00345BC8">
      <w:r>
        <w:separator/>
      </w:r>
    </w:p>
  </w:endnote>
  <w:endnote w:type="continuationSeparator" w:id="0">
    <w:p w14:paraId="424F7A03" w14:textId="77777777" w:rsidR="00436F30" w:rsidRDefault="00436F30" w:rsidP="0034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rope">
    <w:altName w:val="Calibri"/>
    <w:charset w:val="EE"/>
    <w:family w:val="auto"/>
    <w:pitch w:val="variable"/>
    <w:sig w:usb0="A00002BF" w:usb1="5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27F2" w14:textId="348750EE" w:rsidR="005A73F0" w:rsidRDefault="005A73F0">
    <w:pPr>
      <w:pStyle w:val="Zpat"/>
    </w:pPr>
    <w:r>
      <w:rPr>
        <w:noProof/>
      </w:rPr>
      <w:drawing>
        <wp:anchor distT="114300" distB="114300" distL="114300" distR="114300" simplePos="0" relativeHeight="251699200" behindDoc="0" locked="0" layoutInCell="1" hidden="0" allowOverlap="1" wp14:anchorId="463884B7" wp14:editId="5CD1C4F3">
          <wp:simplePos x="0" y="0"/>
          <wp:positionH relativeFrom="column">
            <wp:posOffset>-341333</wp:posOffset>
          </wp:positionH>
          <wp:positionV relativeFrom="paragraph">
            <wp:posOffset>-429883</wp:posOffset>
          </wp:positionV>
          <wp:extent cx="7600950" cy="119785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8904"/>
                  <a:stretch>
                    <a:fillRect/>
                  </a:stretch>
                </pic:blipFill>
                <pic:spPr>
                  <a:xfrm>
                    <a:off x="0" y="0"/>
                    <a:ext cx="7600950" cy="119785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52BE" w14:textId="77777777" w:rsidR="00436F30" w:rsidRDefault="00436F30" w:rsidP="00345BC8">
      <w:r>
        <w:separator/>
      </w:r>
    </w:p>
  </w:footnote>
  <w:footnote w:type="continuationSeparator" w:id="0">
    <w:p w14:paraId="455AB060" w14:textId="77777777" w:rsidR="00436F30" w:rsidRDefault="00436F30" w:rsidP="0034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0A7" w14:textId="51F5752C" w:rsidR="00436F30" w:rsidRDefault="005A73F0" w:rsidP="00BF2058">
    <w:pPr>
      <w:pStyle w:val="Zhlav"/>
      <w:tabs>
        <w:tab w:val="clear" w:pos="4536"/>
        <w:tab w:val="clear" w:pos="9072"/>
        <w:tab w:val="left" w:pos="8681"/>
      </w:tabs>
    </w:pPr>
    <w:r>
      <w:rPr>
        <w:noProof/>
      </w:rPr>
      <w:drawing>
        <wp:anchor distT="114300" distB="114300" distL="114300" distR="114300" simplePos="0" relativeHeight="251693056" behindDoc="1" locked="0" layoutInCell="1" hidden="0" allowOverlap="1" wp14:anchorId="509CF931" wp14:editId="7ED7B6A8">
          <wp:simplePos x="0" y="0"/>
          <wp:positionH relativeFrom="page">
            <wp:posOffset>17145</wp:posOffset>
          </wp:positionH>
          <wp:positionV relativeFrom="page">
            <wp:posOffset>-8255</wp:posOffset>
          </wp:positionV>
          <wp:extent cx="7601531" cy="17002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02" b="81583"/>
                  <a:stretch>
                    <a:fillRect/>
                  </a:stretch>
                </pic:blipFill>
                <pic:spPr>
                  <a:xfrm>
                    <a:off x="0" y="0"/>
                    <a:ext cx="7601531" cy="1700213"/>
                  </a:xfrm>
                  <a:prstGeom prst="rect">
                    <a:avLst/>
                  </a:prstGeom>
                  <a:ln/>
                </pic:spPr>
              </pic:pic>
            </a:graphicData>
          </a:graphic>
          <wp14:sizeRelV relativeFrom="margin">
            <wp14:pctHeight>0</wp14:pctHeight>
          </wp14:sizeRelV>
        </wp:anchor>
      </w:drawing>
    </w:r>
    <w:r w:rsidR="00436F30">
      <w:rPr>
        <w:noProof/>
        <w:lang w:eastAsia="cs-CZ"/>
      </w:rPr>
      <mc:AlternateContent>
        <mc:Choice Requires="wps">
          <w:drawing>
            <wp:anchor distT="0" distB="0" distL="114300" distR="114300" simplePos="0" relativeHeight="251654144" behindDoc="0" locked="0" layoutInCell="1" allowOverlap="1" wp14:anchorId="5AF1F081" wp14:editId="14206B6E">
              <wp:simplePos x="0" y="0"/>
              <wp:positionH relativeFrom="page">
                <wp:posOffset>4627067</wp:posOffset>
              </wp:positionH>
              <wp:positionV relativeFrom="page">
                <wp:posOffset>245110</wp:posOffset>
              </wp:positionV>
              <wp:extent cx="2438400" cy="4857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4FDD" w14:textId="3648FD59" w:rsidR="00436F30" w:rsidRPr="0082696E" w:rsidRDefault="00436F30" w:rsidP="00345BC8">
                          <w:pPr>
                            <w:jc w:val="right"/>
                            <w:rPr>
                              <w:rFonts w:ascii="Calibri" w:hAnsi="Calibri"/>
                              <w:b/>
                              <w:i/>
                              <w:color w:val="9B9B9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1F081" id="_x0000_t202" coordsize="21600,21600" o:spt="202" path="m,l,21600r21600,l21600,xe">
              <v:stroke joinstyle="miter"/>
              <v:path gradientshapeok="t" o:connecttype="rect"/>
            </v:shapetype>
            <v:shape id="Text Box 16" o:spid="_x0000_s1026" type="#_x0000_t202" style="position:absolute;margin-left:364.35pt;margin-top:19.3pt;width:192pt;height:3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" filled="f" stroked="f">
              <v:textbox>
                <w:txbxContent>
                  <w:p w14:paraId="36884FDD" w14:textId="3648FD59" w:rsidR="00436F30" w:rsidRPr="0082696E" w:rsidRDefault="00436F30" w:rsidP="00345BC8">
                    <w:pPr>
                      <w:jc w:val="right"/>
                      <w:rPr>
                        <w:rFonts w:ascii="Calibri" w:hAnsi="Calibri"/>
                        <w:b/>
                        <w:i/>
                        <w:color w:val="9B9B9B"/>
                        <w:sz w:val="36"/>
                        <w:szCs w:val="36"/>
                      </w:rPr>
                    </w:pPr>
                  </w:p>
                </w:txbxContent>
              </v:textbox>
              <w10:wrap anchorx="page" anchory="page"/>
            </v:shape>
          </w:pict>
        </mc:Fallback>
      </mc:AlternateContent>
    </w:r>
    <w:r w:rsidR="00436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B3"/>
    <w:multiLevelType w:val="multilevel"/>
    <w:tmpl w:val="1AA0D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B56C9"/>
    <w:multiLevelType w:val="hybridMultilevel"/>
    <w:tmpl w:val="6846B7B2"/>
    <w:lvl w:ilvl="0" w:tplc="F744A0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5A43B2"/>
    <w:multiLevelType w:val="hybridMultilevel"/>
    <w:tmpl w:val="236683F4"/>
    <w:lvl w:ilvl="0" w:tplc="4538FFD4">
      <w:start w:val="1"/>
      <w:numFmt w:val="upp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314267097">
    <w:abstractNumId w:val="0"/>
  </w:num>
  <w:num w:numId="2" w16cid:durableId="624850165">
    <w:abstractNumId w:val="1"/>
  </w:num>
  <w:num w:numId="3" w16cid:durableId="1270963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7D"/>
    <w:rsid w:val="00017DB8"/>
    <w:rsid w:val="00036659"/>
    <w:rsid w:val="00062966"/>
    <w:rsid w:val="000742FB"/>
    <w:rsid w:val="00087CF3"/>
    <w:rsid w:val="00093EE8"/>
    <w:rsid w:val="000941B9"/>
    <w:rsid w:val="000B314C"/>
    <w:rsid w:val="000B6EB6"/>
    <w:rsid w:val="000C42A6"/>
    <w:rsid w:val="000D4997"/>
    <w:rsid w:val="001129C9"/>
    <w:rsid w:val="00115BE4"/>
    <w:rsid w:val="00122A25"/>
    <w:rsid w:val="00126CB1"/>
    <w:rsid w:val="00132721"/>
    <w:rsid w:val="00144D60"/>
    <w:rsid w:val="00162F6F"/>
    <w:rsid w:val="001636D4"/>
    <w:rsid w:val="00173C39"/>
    <w:rsid w:val="00182F2E"/>
    <w:rsid w:val="001914E6"/>
    <w:rsid w:val="001D4D44"/>
    <w:rsid w:val="001E3527"/>
    <w:rsid w:val="001F3B80"/>
    <w:rsid w:val="00201F94"/>
    <w:rsid w:val="0020515A"/>
    <w:rsid w:val="002058B0"/>
    <w:rsid w:val="00211957"/>
    <w:rsid w:val="002275A5"/>
    <w:rsid w:val="00231959"/>
    <w:rsid w:val="00261B60"/>
    <w:rsid w:val="00271225"/>
    <w:rsid w:val="00284A0C"/>
    <w:rsid w:val="002B3FCC"/>
    <w:rsid w:val="002C05ED"/>
    <w:rsid w:val="002C4B6E"/>
    <w:rsid w:val="002E0CB7"/>
    <w:rsid w:val="002E5ED8"/>
    <w:rsid w:val="0030314D"/>
    <w:rsid w:val="00303638"/>
    <w:rsid w:val="00312CA0"/>
    <w:rsid w:val="00314AE6"/>
    <w:rsid w:val="00333D59"/>
    <w:rsid w:val="00345BC8"/>
    <w:rsid w:val="00371771"/>
    <w:rsid w:val="00375FE0"/>
    <w:rsid w:val="003760A2"/>
    <w:rsid w:val="0039346B"/>
    <w:rsid w:val="003A44DB"/>
    <w:rsid w:val="003D5DB3"/>
    <w:rsid w:val="003E14A0"/>
    <w:rsid w:val="003E2608"/>
    <w:rsid w:val="003E5C88"/>
    <w:rsid w:val="003F1265"/>
    <w:rsid w:val="003F650C"/>
    <w:rsid w:val="00431971"/>
    <w:rsid w:val="00436F30"/>
    <w:rsid w:val="00453178"/>
    <w:rsid w:val="004555DF"/>
    <w:rsid w:val="00461E1F"/>
    <w:rsid w:val="00477C67"/>
    <w:rsid w:val="00493CDF"/>
    <w:rsid w:val="004B655A"/>
    <w:rsid w:val="004C679B"/>
    <w:rsid w:val="004D2C1F"/>
    <w:rsid w:val="004D4A45"/>
    <w:rsid w:val="004F2014"/>
    <w:rsid w:val="004F7385"/>
    <w:rsid w:val="0050236F"/>
    <w:rsid w:val="00540F08"/>
    <w:rsid w:val="005619BA"/>
    <w:rsid w:val="005931BE"/>
    <w:rsid w:val="00595B7A"/>
    <w:rsid w:val="005A73F0"/>
    <w:rsid w:val="005C2E14"/>
    <w:rsid w:val="005C6C37"/>
    <w:rsid w:val="005E0364"/>
    <w:rsid w:val="005E0377"/>
    <w:rsid w:val="005E094D"/>
    <w:rsid w:val="0064262B"/>
    <w:rsid w:val="00654A43"/>
    <w:rsid w:val="00670F7E"/>
    <w:rsid w:val="0067176D"/>
    <w:rsid w:val="0067374E"/>
    <w:rsid w:val="006A7E6B"/>
    <w:rsid w:val="006C0EA4"/>
    <w:rsid w:val="006C302A"/>
    <w:rsid w:val="006C5C8F"/>
    <w:rsid w:val="006C7A56"/>
    <w:rsid w:val="006E2178"/>
    <w:rsid w:val="006E3B6F"/>
    <w:rsid w:val="00704ADD"/>
    <w:rsid w:val="00711791"/>
    <w:rsid w:val="00722FBF"/>
    <w:rsid w:val="00746E16"/>
    <w:rsid w:val="00754A0B"/>
    <w:rsid w:val="00766431"/>
    <w:rsid w:val="00772586"/>
    <w:rsid w:val="00776DB4"/>
    <w:rsid w:val="00796F86"/>
    <w:rsid w:val="007A78A4"/>
    <w:rsid w:val="007F1CD4"/>
    <w:rsid w:val="007F7A75"/>
    <w:rsid w:val="00805533"/>
    <w:rsid w:val="00816922"/>
    <w:rsid w:val="00847943"/>
    <w:rsid w:val="00853A0D"/>
    <w:rsid w:val="008B225D"/>
    <w:rsid w:val="008D403E"/>
    <w:rsid w:val="008E01ED"/>
    <w:rsid w:val="008F02F3"/>
    <w:rsid w:val="008F7661"/>
    <w:rsid w:val="00914872"/>
    <w:rsid w:val="009169B7"/>
    <w:rsid w:val="00952830"/>
    <w:rsid w:val="0098456A"/>
    <w:rsid w:val="009A0A31"/>
    <w:rsid w:val="009A46C2"/>
    <w:rsid w:val="009B2205"/>
    <w:rsid w:val="009C4B15"/>
    <w:rsid w:val="009C5F82"/>
    <w:rsid w:val="009D7D0D"/>
    <w:rsid w:val="009E72EE"/>
    <w:rsid w:val="009F2C9D"/>
    <w:rsid w:val="00A62F33"/>
    <w:rsid w:val="00A66B59"/>
    <w:rsid w:val="00A72A9C"/>
    <w:rsid w:val="00A83488"/>
    <w:rsid w:val="00A84846"/>
    <w:rsid w:val="00A93E5B"/>
    <w:rsid w:val="00AA4232"/>
    <w:rsid w:val="00AD65CE"/>
    <w:rsid w:val="00AF0B33"/>
    <w:rsid w:val="00AF12A6"/>
    <w:rsid w:val="00AF3463"/>
    <w:rsid w:val="00AF394A"/>
    <w:rsid w:val="00B205B0"/>
    <w:rsid w:val="00B25A58"/>
    <w:rsid w:val="00B44E3E"/>
    <w:rsid w:val="00B527E2"/>
    <w:rsid w:val="00B54579"/>
    <w:rsid w:val="00B60CCF"/>
    <w:rsid w:val="00B62716"/>
    <w:rsid w:val="00B75425"/>
    <w:rsid w:val="00B7593E"/>
    <w:rsid w:val="00BB2BEC"/>
    <w:rsid w:val="00BC7B68"/>
    <w:rsid w:val="00BF00D7"/>
    <w:rsid w:val="00BF152B"/>
    <w:rsid w:val="00BF1EF9"/>
    <w:rsid w:val="00BF2058"/>
    <w:rsid w:val="00BF2EA4"/>
    <w:rsid w:val="00BF6C9D"/>
    <w:rsid w:val="00BF722D"/>
    <w:rsid w:val="00C3201B"/>
    <w:rsid w:val="00C45C1C"/>
    <w:rsid w:val="00C62995"/>
    <w:rsid w:val="00C63C60"/>
    <w:rsid w:val="00C66471"/>
    <w:rsid w:val="00C673BF"/>
    <w:rsid w:val="00C70095"/>
    <w:rsid w:val="00C84890"/>
    <w:rsid w:val="00C92D1B"/>
    <w:rsid w:val="00C93CEF"/>
    <w:rsid w:val="00C97BC7"/>
    <w:rsid w:val="00CC07A5"/>
    <w:rsid w:val="00CD4BB4"/>
    <w:rsid w:val="00CE217E"/>
    <w:rsid w:val="00CE4D32"/>
    <w:rsid w:val="00D116EB"/>
    <w:rsid w:val="00D33A79"/>
    <w:rsid w:val="00D425D5"/>
    <w:rsid w:val="00D5164A"/>
    <w:rsid w:val="00D63D17"/>
    <w:rsid w:val="00D651D6"/>
    <w:rsid w:val="00D802D3"/>
    <w:rsid w:val="00D921AB"/>
    <w:rsid w:val="00DA6313"/>
    <w:rsid w:val="00DB3D85"/>
    <w:rsid w:val="00DC3527"/>
    <w:rsid w:val="00DC3B01"/>
    <w:rsid w:val="00DE00C2"/>
    <w:rsid w:val="00DE6170"/>
    <w:rsid w:val="00E01B2A"/>
    <w:rsid w:val="00E04CDC"/>
    <w:rsid w:val="00E34E0B"/>
    <w:rsid w:val="00E42B85"/>
    <w:rsid w:val="00E562A5"/>
    <w:rsid w:val="00E568F4"/>
    <w:rsid w:val="00E627C6"/>
    <w:rsid w:val="00E64B46"/>
    <w:rsid w:val="00E717BD"/>
    <w:rsid w:val="00E8294A"/>
    <w:rsid w:val="00E92FFB"/>
    <w:rsid w:val="00ED2B7D"/>
    <w:rsid w:val="00F008C4"/>
    <w:rsid w:val="00F01B52"/>
    <w:rsid w:val="00F13A05"/>
    <w:rsid w:val="00F24F67"/>
    <w:rsid w:val="00F76171"/>
    <w:rsid w:val="00F800D7"/>
    <w:rsid w:val="00F81C2B"/>
    <w:rsid w:val="00F87724"/>
    <w:rsid w:val="00FB2BFE"/>
    <w:rsid w:val="00FC1797"/>
    <w:rsid w:val="00FD5C7D"/>
    <w:rsid w:val="00FD7FCA"/>
    <w:rsid w:val="00FE7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EE44B18"/>
  <w15:docId w15:val="{A6B9EEEC-42D5-4FA9-8F9B-F328941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themeColor="text1"/>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2B7D"/>
    <w:rPr>
      <w:rFonts w:ascii="Times New Roman" w:eastAsia="Times New Roman" w:hAnsi="Times New Roman"/>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D2B7D"/>
    <w:rPr>
      <w:sz w:val="20"/>
    </w:rPr>
  </w:style>
  <w:style w:type="character" w:customStyle="1" w:styleId="ZkladntextChar">
    <w:name w:val="Základní text Char"/>
    <w:basedOn w:val="Standardnpsmoodstavce"/>
    <w:link w:val="Zkladntext"/>
    <w:semiHidden/>
    <w:rsid w:val="00ED2B7D"/>
    <w:rPr>
      <w:rFonts w:ascii="Times New Roman" w:eastAsia="Times New Roman" w:hAnsi="Times New Roman"/>
      <w:color w:val="auto"/>
      <w:szCs w:val="24"/>
    </w:rPr>
  </w:style>
  <w:style w:type="paragraph" w:styleId="Textkomente">
    <w:name w:val="annotation text"/>
    <w:basedOn w:val="Normln"/>
    <w:link w:val="TextkomenteChar"/>
    <w:semiHidden/>
    <w:rsid w:val="00ED2B7D"/>
    <w:rPr>
      <w:sz w:val="20"/>
      <w:szCs w:val="20"/>
    </w:rPr>
  </w:style>
  <w:style w:type="character" w:customStyle="1" w:styleId="TextkomenteChar">
    <w:name w:val="Text komentáře Char"/>
    <w:basedOn w:val="Standardnpsmoodstavce"/>
    <w:link w:val="Textkomente"/>
    <w:semiHidden/>
    <w:rsid w:val="00ED2B7D"/>
    <w:rPr>
      <w:rFonts w:ascii="Times New Roman" w:eastAsia="Times New Roman" w:hAnsi="Times New Roman"/>
      <w:color w:val="auto"/>
    </w:rPr>
  </w:style>
  <w:style w:type="table" w:styleId="Mkatabulky">
    <w:name w:val="Table Grid"/>
    <w:basedOn w:val="Normlntabulka"/>
    <w:uiPriority w:val="59"/>
    <w:rsid w:val="00ED2B7D"/>
    <w:rPr>
      <w:rFonts w:ascii="Times New Roman" w:eastAsia="Times New Roman" w:hAnsi="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45BC8"/>
    <w:rPr>
      <w:rFonts w:ascii="Tahoma" w:hAnsi="Tahoma" w:cs="Tahoma"/>
      <w:sz w:val="16"/>
      <w:szCs w:val="16"/>
    </w:rPr>
  </w:style>
  <w:style w:type="character" w:customStyle="1" w:styleId="TextbublinyChar">
    <w:name w:val="Text bubliny Char"/>
    <w:basedOn w:val="Standardnpsmoodstavce"/>
    <w:link w:val="Textbubliny"/>
    <w:uiPriority w:val="99"/>
    <w:semiHidden/>
    <w:rsid w:val="00345BC8"/>
    <w:rPr>
      <w:rFonts w:ascii="Tahoma" w:eastAsia="Times New Roman" w:hAnsi="Tahoma" w:cs="Tahoma"/>
      <w:color w:val="auto"/>
      <w:sz w:val="16"/>
      <w:szCs w:val="16"/>
    </w:rPr>
  </w:style>
  <w:style w:type="paragraph" w:styleId="Zhlav">
    <w:name w:val="header"/>
    <w:basedOn w:val="Normln"/>
    <w:link w:val="ZhlavChar"/>
    <w:uiPriority w:val="99"/>
    <w:unhideWhenUsed/>
    <w:rsid w:val="00345BC8"/>
    <w:pPr>
      <w:tabs>
        <w:tab w:val="center" w:pos="4536"/>
        <w:tab w:val="right" w:pos="9072"/>
      </w:tabs>
    </w:pPr>
  </w:style>
  <w:style w:type="character" w:customStyle="1" w:styleId="ZhlavChar">
    <w:name w:val="Záhlaví Char"/>
    <w:basedOn w:val="Standardnpsmoodstavce"/>
    <w:link w:val="Zhlav"/>
    <w:uiPriority w:val="99"/>
    <w:rsid w:val="00345BC8"/>
    <w:rPr>
      <w:rFonts w:ascii="Times New Roman" w:eastAsia="Times New Roman" w:hAnsi="Times New Roman"/>
      <w:color w:val="auto"/>
      <w:sz w:val="24"/>
      <w:szCs w:val="24"/>
    </w:rPr>
  </w:style>
  <w:style w:type="paragraph" w:styleId="Zpat">
    <w:name w:val="footer"/>
    <w:basedOn w:val="Normln"/>
    <w:link w:val="ZpatChar"/>
    <w:uiPriority w:val="99"/>
    <w:unhideWhenUsed/>
    <w:rsid w:val="00345BC8"/>
    <w:pPr>
      <w:tabs>
        <w:tab w:val="center" w:pos="4536"/>
        <w:tab w:val="right" w:pos="9072"/>
      </w:tabs>
    </w:pPr>
  </w:style>
  <w:style w:type="character" w:customStyle="1" w:styleId="ZpatChar">
    <w:name w:val="Zápatí Char"/>
    <w:basedOn w:val="Standardnpsmoodstavce"/>
    <w:link w:val="Zpat"/>
    <w:uiPriority w:val="99"/>
    <w:rsid w:val="00345BC8"/>
    <w:rPr>
      <w:rFonts w:ascii="Times New Roman" w:eastAsia="Times New Roman" w:hAnsi="Times New Roman"/>
      <w:color w:val="auto"/>
      <w:sz w:val="24"/>
      <w:szCs w:val="24"/>
    </w:rPr>
  </w:style>
  <w:style w:type="character" w:styleId="Hypertextovodkaz">
    <w:name w:val="Hyperlink"/>
    <w:basedOn w:val="Standardnpsmoodstavce"/>
    <w:uiPriority w:val="99"/>
    <w:unhideWhenUsed/>
    <w:rsid w:val="00303638"/>
    <w:rPr>
      <w:color w:val="0563C1" w:themeColor="hyperlink"/>
      <w:u w:val="single"/>
    </w:rPr>
  </w:style>
  <w:style w:type="character" w:styleId="Odkaznakoment">
    <w:name w:val="annotation reference"/>
    <w:basedOn w:val="Standardnpsmoodstavce"/>
    <w:uiPriority w:val="99"/>
    <w:semiHidden/>
    <w:unhideWhenUsed/>
    <w:rsid w:val="00303638"/>
    <w:rPr>
      <w:sz w:val="16"/>
      <w:szCs w:val="16"/>
    </w:rPr>
  </w:style>
  <w:style w:type="paragraph" w:styleId="Pedmtkomente">
    <w:name w:val="annotation subject"/>
    <w:basedOn w:val="Textkomente"/>
    <w:next w:val="Textkomente"/>
    <w:link w:val="PedmtkomenteChar"/>
    <w:uiPriority w:val="99"/>
    <w:semiHidden/>
    <w:unhideWhenUsed/>
    <w:rsid w:val="00303638"/>
    <w:rPr>
      <w:b/>
      <w:bCs/>
    </w:rPr>
  </w:style>
  <w:style w:type="character" w:customStyle="1" w:styleId="PedmtkomenteChar">
    <w:name w:val="Předmět komentáře Char"/>
    <w:basedOn w:val="TextkomenteChar"/>
    <w:link w:val="Pedmtkomente"/>
    <w:uiPriority w:val="99"/>
    <w:semiHidden/>
    <w:rsid w:val="00303638"/>
    <w:rPr>
      <w:rFonts w:ascii="Times New Roman" w:eastAsia="Times New Roman" w:hAnsi="Times New Roman"/>
      <w:b/>
      <w:bCs/>
      <w:color w:val="auto"/>
    </w:rPr>
  </w:style>
  <w:style w:type="paragraph" w:styleId="Revize">
    <w:name w:val="Revision"/>
    <w:hidden/>
    <w:uiPriority w:val="99"/>
    <w:semiHidden/>
    <w:rsid w:val="008D403E"/>
    <w:rPr>
      <w:rFonts w:ascii="Times New Roman" w:eastAsia="Times New Roman" w:hAnsi="Times New Roman"/>
      <w:color w:val="auto"/>
      <w:sz w:val="24"/>
      <w:szCs w:val="24"/>
    </w:rPr>
  </w:style>
  <w:style w:type="paragraph" w:styleId="Odstavecseseznamem">
    <w:name w:val="List Paragraph"/>
    <w:basedOn w:val="Normln"/>
    <w:uiPriority w:val="34"/>
    <w:qFormat/>
    <w:rsid w:val="00BC7B68"/>
    <w:pPr>
      <w:ind w:left="720"/>
      <w:contextualSpacing/>
    </w:pPr>
  </w:style>
  <w:style w:type="character" w:styleId="Zstupntext">
    <w:name w:val="Placeholder Text"/>
    <w:basedOn w:val="Standardnpsmoodstavce"/>
    <w:uiPriority w:val="99"/>
    <w:semiHidden/>
    <w:rsid w:val="00F13A05"/>
    <w:rPr>
      <w:color w:val="808080"/>
    </w:rPr>
  </w:style>
  <w:style w:type="character" w:styleId="Nevyeenzmnka">
    <w:name w:val="Unresolved Mention"/>
    <w:basedOn w:val="Standardnpsmoodstavce"/>
    <w:uiPriority w:val="99"/>
    <w:semiHidden/>
    <w:unhideWhenUsed/>
    <w:rsid w:val="007F1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623">
      <w:bodyDiv w:val="1"/>
      <w:marLeft w:val="0"/>
      <w:marRight w:val="0"/>
      <w:marTop w:val="0"/>
      <w:marBottom w:val="0"/>
      <w:divBdr>
        <w:top w:val="none" w:sz="0" w:space="0" w:color="auto"/>
        <w:left w:val="none" w:sz="0" w:space="0" w:color="auto"/>
        <w:bottom w:val="none" w:sz="0" w:space="0" w:color="auto"/>
        <w:right w:val="none" w:sz="0" w:space="0" w:color="auto"/>
      </w:divBdr>
    </w:div>
    <w:div w:id="73283482">
      <w:bodyDiv w:val="1"/>
      <w:marLeft w:val="0"/>
      <w:marRight w:val="0"/>
      <w:marTop w:val="0"/>
      <w:marBottom w:val="0"/>
      <w:divBdr>
        <w:top w:val="none" w:sz="0" w:space="0" w:color="auto"/>
        <w:left w:val="none" w:sz="0" w:space="0" w:color="auto"/>
        <w:bottom w:val="none" w:sz="0" w:space="0" w:color="auto"/>
        <w:right w:val="none" w:sz="0" w:space="0" w:color="auto"/>
      </w:divBdr>
    </w:div>
    <w:div w:id="225453559">
      <w:bodyDiv w:val="1"/>
      <w:marLeft w:val="0"/>
      <w:marRight w:val="0"/>
      <w:marTop w:val="0"/>
      <w:marBottom w:val="0"/>
      <w:divBdr>
        <w:top w:val="none" w:sz="0" w:space="0" w:color="auto"/>
        <w:left w:val="none" w:sz="0" w:space="0" w:color="auto"/>
        <w:bottom w:val="none" w:sz="0" w:space="0" w:color="auto"/>
        <w:right w:val="none" w:sz="0" w:space="0" w:color="auto"/>
      </w:divBdr>
    </w:div>
    <w:div w:id="295524119">
      <w:bodyDiv w:val="1"/>
      <w:marLeft w:val="0"/>
      <w:marRight w:val="0"/>
      <w:marTop w:val="0"/>
      <w:marBottom w:val="0"/>
      <w:divBdr>
        <w:top w:val="none" w:sz="0" w:space="0" w:color="auto"/>
        <w:left w:val="none" w:sz="0" w:space="0" w:color="auto"/>
        <w:bottom w:val="none" w:sz="0" w:space="0" w:color="auto"/>
        <w:right w:val="none" w:sz="0" w:space="0" w:color="auto"/>
      </w:divBdr>
    </w:div>
    <w:div w:id="410395434">
      <w:bodyDiv w:val="1"/>
      <w:marLeft w:val="0"/>
      <w:marRight w:val="0"/>
      <w:marTop w:val="0"/>
      <w:marBottom w:val="0"/>
      <w:divBdr>
        <w:top w:val="none" w:sz="0" w:space="0" w:color="auto"/>
        <w:left w:val="none" w:sz="0" w:space="0" w:color="auto"/>
        <w:bottom w:val="none" w:sz="0" w:space="0" w:color="auto"/>
        <w:right w:val="none" w:sz="0" w:space="0" w:color="auto"/>
      </w:divBdr>
    </w:div>
    <w:div w:id="414133503">
      <w:bodyDiv w:val="1"/>
      <w:marLeft w:val="0"/>
      <w:marRight w:val="0"/>
      <w:marTop w:val="0"/>
      <w:marBottom w:val="0"/>
      <w:divBdr>
        <w:top w:val="none" w:sz="0" w:space="0" w:color="auto"/>
        <w:left w:val="none" w:sz="0" w:space="0" w:color="auto"/>
        <w:bottom w:val="none" w:sz="0" w:space="0" w:color="auto"/>
        <w:right w:val="none" w:sz="0" w:space="0" w:color="auto"/>
      </w:divBdr>
    </w:div>
    <w:div w:id="424036563">
      <w:bodyDiv w:val="1"/>
      <w:marLeft w:val="0"/>
      <w:marRight w:val="0"/>
      <w:marTop w:val="0"/>
      <w:marBottom w:val="0"/>
      <w:divBdr>
        <w:top w:val="none" w:sz="0" w:space="0" w:color="auto"/>
        <w:left w:val="none" w:sz="0" w:space="0" w:color="auto"/>
        <w:bottom w:val="none" w:sz="0" w:space="0" w:color="auto"/>
        <w:right w:val="none" w:sz="0" w:space="0" w:color="auto"/>
      </w:divBdr>
    </w:div>
    <w:div w:id="485708884">
      <w:bodyDiv w:val="1"/>
      <w:marLeft w:val="0"/>
      <w:marRight w:val="0"/>
      <w:marTop w:val="0"/>
      <w:marBottom w:val="0"/>
      <w:divBdr>
        <w:top w:val="none" w:sz="0" w:space="0" w:color="auto"/>
        <w:left w:val="none" w:sz="0" w:space="0" w:color="auto"/>
        <w:bottom w:val="none" w:sz="0" w:space="0" w:color="auto"/>
        <w:right w:val="none" w:sz="0" w:space="0" w:color="auto"/>
      </w:divBdr>
    </w:div>
    <w:div w:id="505051591">
      <w:bodyDiv w:val="1"/>
      <w:marLeft w:val="0"/>
      <w:marRight w:val="0"/>
      <w:marTop w:val="0"/>
      <w:marBottom w:val="0"/>
      <w:divBdr>
        <w:top w:val="none" w:sz="0" w:space="0" w:color="auto"/>
        <w:left w:val="none" w:sz="0" w:space="0" w:color="auto"/>
        <w:bottom w:val="none" w:sz="0" w:space="0" w:color="auto"/>
        <w:right w:val="none" w:sz="0" w:space="0" w:color="auto"/>
      </w:divBdr>
    </w:div>
    <w:div w:id="555362684">
      <w:bodyDiv w:val="1"/>
      <w:marLeft w:val="0"/>
      <w:marRight w:val="0"/>
      <w:marTop w:val="0"/>
      <w:marBottom w:val="0"/>
      <w:divBdr>
        <w:top w:val="none" w:sz="0" w:space="0" w:color="auto"/>
        <w:left w:val="none" w:sz="0" w:space="0" w:color="auto"/>
        <w:bottom w:val="none" w:sz="0" w:space="0" w:color="auto"/>
        <w:right w:val="none" w:sz="0" w:space="0" w:color="auto"/>
      </w:divBdr>
    </w:div>
    <w:div w:id="632639361">
      <w:bodyDiv w:val="1"/>
      <w:marLeft w:val="0"/>
      <w:marRight w:val="0"/>
      <w:marTop w:val="0"/>
      <w:marBottom w:val="0"/>
      <w:divBdr>
        <w:top w:val="none" w:sz="0" w:space="0" w:color="auto"/>
        <w:left w:val="none" w:sz="0" w:space="0" w:color="auto"/>
        <w:bottom w:val="none" w:sz="0" w:space="0" w:color="auto"/>
        <w:right w:val="none" w:sz="0" w:space="0" w:color="auto"/>
      </w:divBdr>
    </w:div>
    <w:div w:id="634335601">
      <w:bodyDiv w:val="1"/>
      <w:marLeft w:val="0"/>
      <w:marRight w:val="0"/>
      <w:marTop w:val="0"/>
      <w:marBottom w:val="0"/>
      <w:divBdr>
        <w:top w:val="none" w:sz="0" w:space="0" w:color="auto"/>
        <w:left w:val="none" w:sz="0" w:space="0" w:color="auto"/>
        <w:bottom w:val="none" w:sz="0" w:space="0" w:color="auto"/>
        <w:right w:val="none" w:sz="0" w:space="0" w:color="auto"/>
      </w:divBdr>
    </w:div>
    <w:div w:id="681008651">
      <w:bodyDiv w:val="1"/>
      <w:marLeft w:val="0"/>
      <w:marRight w:val="0"/>
      <w:marTop w:val="0"/>
      <w:marBottom w:val="0"/>
      <w:divBdr>
        <w:top w:val="none" w:sz="0" w:space="0" w:color="auto"/>
        <w:left w:val="none" w:sz="0" w:space="0" w:color="auto"/>
        <w:bottom w:val="none" w:sz="0" w:space="0" w:color="auto"/>
        <w:right w:val="none" w:sz="0" w:space="0" w:color="auto"/>
      </w:divBdr>
    </w:div>
    <w:div w:id="746342509">
      <w:bodyDiv w:val="1"/>
      <w:marLeft w:val="0"/>
      <w:marRight w:val="0"/>
      <w:marTop w:val="0"/>
      <w:marBottom w:val="0"/>
      <w:divBdr>
        <w:top w:val="none" w:sz="0" w:space="0" w:color="auto"/>
        <w:left w:val="none" w:sz="0" w:space="0" w:color="auto"/>
        <w:bottom w:val="none" w:sz="0" w:space="0" w:color="auto"/>
        <w:right w:val="none" w:sz="0" w:space="0" w:color="auto"/>
      </w:divBdr>
    </w:div>
    <w:div w:id="803739548">
      <w:bodyDiv w:val="1"/>
      <w:marLeft w:val="0"/>
      <w:marRight w:val="0"/>
      <w:marTop w:val="0"/>
      <w:marBottom w:val="0"/>
      <w:divBdr>
        <w:top w:val="none" w:sz="0" w:space="0" w:color="auto"/>
        <w:left w:val="none" w:sz="0" w:space="0" w:color="auto"/>
        <w:bottom w:val="none" w:sz="0" w:space="0" w:color="auto"/>
        <w:right w:val="none" w:sz="0" w:space="0" w:color="auto"/>
      </w:divBdr>
    </w:div>
    <w:div w:id="831024249">
      <w:bodyDiv w:val="1"/>
      <w:marLeft w:val="0"/>
      <w:marRight w:val="0"/>
      <w:marTop w:val="0"/>
      <w:marBottom w:val="0"/>
      <w:divBdr>
        <w:top w:val="none" w:sz="0" w:space="0" w:color="auto"/>
        <w:left w:val="none" w:sz="0" w:space="0" w:color="auto"/>
        <w:bottom w:val="none" w:sz="0" w:space="0" w:color="auto"/>
        <w:right w:val="none" w:sz="0" w:space="0" w:color="auto"/>
      </w:divBdr>
    </w:div>
    <w:div w:id="844711225">
      <w:bodyDiv w:val="1"/>
      <w:marLeft w:val="0"/>
      <w:marRight w:val="0"/>
      <w:marTop w:val="0"/>
      <w:marBottom w:val="0"/>
      <w:divBdr>
        <w:top w:val="none" w:sz="0" w:space="0" w:color="auto"/>
        <w:left w:val="none" w:sz="0" w:space="0" w:color="auto"/>
        <w:bottom w:val="none" w:sz="0" w:space="0" w:color="auto"/>
        <w:right w:val="none" w:sz="0" w:space="0" w:color="auto"/>
      </w:divBdr>
    </w:div>
    <w:div w:id="928738235">
      <w:bodyDiv w:val="1"/>
      <w:marLeft w:val="0"/>
      <w:marRight w:val="0"/>
      <w:marTop w:val="0"/>
      <w:marBottom w:val="0"/>
      <w:divBdr>
        <w:top w:val="none" w:sz="0" w:space="0" w:color="auto"/>
        <w:left w:val="none" w:sz="0" w:space="0" w:color="auto"/>
        <w:bottom w:val="none" w:sz="0" w:space="0" w:color="auto"/>
        <w:right w:val="none" w:sz="0" w:space="0" w:color="auto"/>
      </w:divBdr>
    </w:div>
    <w:div w:id="1058671741">
      <w:bodyDiv w:val="1"/>
      <w:marLeft w:val="0"/>
      <w:marRight w:val="0"/>
      <w:marTop w:val="0"/>
      <w:marBottom w:val="0"/>
      <w:divBdr>
        <w:top w:val="none" w:sz="0" w:space="0" w:color="auto"/>
        <w:left w:val="none" w:sz="0" w:space="0" w:color="auto"/>
        <w:bottom w:val="none" w:sz="0" w:space="0" w:color="auto"/>
        <w:right w:val="none" w:sz="0" w:space="0" w:color="auto"/>
      </w:divBdr>
    </w:div>
    <w:div w:id="1060636887">
      <w:bodyDiv w:val="1"/>
      <w:marLeft w:val="0"/>
      <w:marRight w:val="0"/>
      <w:marTop w:val="0"/>
      <w:marBottom w:val="0"/>
      <w:divBdr>
        <w:top w:val="none" w:sz="0" w:space="0" w:color="auto"/>
        <w:left w:val="none" w:sz="0" w:space="0" w:color="auto"/>
        <w:bottom w:val="none" w:sz="0" w:space="0" w:color="auto"/>
        <w:right w:val="none" w:sz="0" w:space="0" w:color="auto"/>
      </w:divBdr>
    </w:div>
    <w:div w:id="1088691009">
      <w:bodyDiv w:val="1"/>
      <w:marLeft w:val="0"/>
      <w:marRight w:val="0"/>
      <w:marTop w:val="0"/>
      <w:marBottom w:val="0"/>
      <w:divBdr>
        <w:top w:val="none" w:sz="0" w:space="0" w:color="auto"/>
        <w:left w:val="none" w:sz="0" w:space="0" w:color="auto"/>
        <w:bottom w:val="none" w:sz="0" w:space="0" w:color="auto"/>
        <w:right w:val="none" w:sz="0" w:space="0" w:color="auto"/>
      </w:divBdr>
    </w:div>
    <w:div w:id="1138568169">
      <w:bodyDiv w:val="1"/>
      <w:marLeft w:val="0"/>
      <w:marRight w:val="0"/>
      <w:marTop w:val="0"/>
      <w:marBottom w:val="0"/>
      <w:divBdr>
        <w:top w:val="none" w:sz="0" w:space="0" w:color="auto"/>
        <w:left w:val="none" w:sz="0" w:space="0" w:color="auto"/>
        <w:bottom w:val="none" w:sz="0" w:space="0" w:color="auto"/>
        <w:right w:val="none" w:sz="0" w:space="0" w:color="auto"/>
      </w:divBdr>
    </w:div>
    <w:div w:id="1198932937">
      <w:bodyDiv w:val="1"/>
      <w:marLeft w:val="0"/>
      <w:marRight w:val="0"/>
      <w:marTop w:val="0"/>
      <w:marBottom w:val="0"/>
      <w:divBdr>
        <w:top w:val="none" w:sz="0" w:space="0" w:color="auto"/>
        <w:left w:val="none" w:sz="0" w:space="0" w:color="auto"/>
        <w:bottom w:val="none" w:sz="0" w:space="0" w:color="auto"/>
        <w:right w:val="none" w:sz="0" w:space="0" w:color="auto"/>
      </w:divBdr>
    </w:div>
    <w:div w:id="1228808605">
      <w:bodyDiv w:val="1"/>
      <w:marLeft w:val="0"/>
      <w:marRight w:val="0"/>
      <w:marTop w:val="0"/>
      <w:marBottom w:val="0"/>
      <w:divBdr>
        <w:top w:val="none" w:sz="0" w:space="0" w:color="auto"/>
        <w:left w:val="none" w:sz="0" w:space="0" w:color="auto"/>
        <w:bottom w:val="none" w:sz="0" w:space="0" w:color="auto"/>
        <w:right w:val="none" w:sz="0" w:space="0" w:color="auto"/>
      </w:divBdr>
    </w:div>
    <w:div w:id="1232615659">
      <w:bodyDiv w:val="1"/>
      <w:marLeft w:val="0"/>
      <w:marRight w:val="0"/>
      <w:marTop w:val="0"/>
      <w:marBottom w:val="0"/>
      <w:divBdr>
        <w:top w:val="none" w:sz="0" w:space="0" w:color="auto"/>
        <w:left w:val="none" w:sz="0" w:space="0" w:color="auto"/>
        <w:bottom w:val="none" w:sz="0" w:space="0" w:color="auto"/>
        <w:right w:val="none" w:sz="0" w:space="0" w:color="auto"/>
      </w:divBdr>
    </w:div>
    <w:div w:id="1234780600">
      <w:bodyDiv w:val="1"/>
      <w:marLeft w:val="0"/>
      <w:marRight w:val="0"/>
      <w:marTop w:val="0"/>
      <w:marBottom w:val="0"/>
      <w:divBdr>
        <w:top w:val="none" w:sz="0" w:space="0" w:color="auto"/>
        <w:left w:val="none" w:sz="0" w:space="0" w:color="auto"/>
        <w:bottom w:val="none" w:sz="0" w:space="0" w:color="auto"/>
        <w:right w:val="none" w:sz="0" w:space="0" w:color="auto"/>
      </w:divBdr>
    </w:div>
    <w:div w:id="1240482460">
      <w:bodyDiv w:val="1"/>
      <w:marLeft w:val="0"/>
      <w:marRight w:val="0"/>
      <w:marTop w:val="0"/>
      <w:marBottom w:val="0"/>
      <w:divBdr>
        <w:top w:val="none" w:sz="0" w:space="0" w:color="auto"/>
        <w:left w:val="none" w:sz="0" w:space="0" w:color="auto"/>
        <w:bottom w:val="none" w:sz="0" w:space="0" w:color="auto"/>
        <w:right w:val="none" w:sz="0" w:space="0" w:color="auto"/>
      </w:divBdr>
    </w:div>
    <w:div w:id="1346902495">
      <w:bodyDiv w:val="1"/>
      <w:marLeft w:val="0"/>
      <w:marRight w:val="0"/>
      <w:marTop w:val="0"/>
      <w:marBottom w:val="0"/>
      <w:divBdr>
        <w:top w:val="none" w:sz="0" w:space="0" w:color="auto"/>
        <w:left w:val="none" w:sz="0" w:space="0" w:color="auto"/>
        <w:bottom w:val="none" w:sz="0" w:space="0" w:color="auto"/>
        <w:right w:val="none" w:sz="0" w:space="0" w:color="auto"/>
      </w:divBdr>
    </w:div>
    <w:div w:id="1367219381">
      <w:bodyDiv w:val="1"/>
      <w:marLeft w:val="0"/>
      <w:marRight w:val="0"/>
      <w:marTop w:val="0"/>
      <w:marBottom w:val="0"/>
      <w:divBdr>
        <w:top w:val="none" w:sz="0" w:space="0" w:color="auto"/>
        <w:left w:val="none" w:sz="0" w:space="0" w:color="auto"/>
        <w:bottom w:val="none" w:sz="0" w:space="0" w:color="auto"/>
        <w:right w:val="none" w:sz="0" w:space="0" w:color="auto"/>
      </w:divBdr>
    </w:div>
    <w:div w:id="1394310087">
      <w:bodyDiv w:val="1"/>
      <w:marLeft w:val="0"/>
      <w:marRight w:val="0"/>
      <w:marTop w:val="0"/>
      <w:marBottom w:val="0"/>
      <w:divBdr>
        <w:top w:val="none" w:sz="0" w:space="0" w:color="auto"/>
        <w:left w:val="none" w:sz="0" w:space="0" w:color="auto"/>
        <w:bottom w:val="none" w:sz="0" w:space="0" w:color="auto"/>
        <w:right w:val="none" w:sz="0" w:space="0" w:color="auto"/>
      </w:divBdr>
    </w:div>
    <w:div w:id="1405301964">
      <w:bodyDiv w:val="1"/>
      <w:marLeft w:val="0"/>
      <w:marRight w:val="0"/>
      <w:marTop w:val="0"/>
      <w:marBottom w:val="0"/>
      <w:divBdr>
        <w:top w:val="none" w:sz="0" w:space="0" w:color="auto"/>
        <w:left w:val="none" w:sz="0" w:space="0" w:color="auto"/>
        <w:bottom w:val="none" w:sz="0" w:space="0" w:color="auto"/>
        <w:right w:val="none" w:sz="0" w:space="0" w:color="auto"/>
      </w:divBdr>
    </w:div>
    <w:div w:id="1431967739">
      <w:bodyDiv w:val="1"/>
      <w:marLeft w:val="0"/>
      <w:marRight w:val="0"/>
      <w:marTop w:val="0"/>
      <w:marBottom w:val="0"/>
      <w:divBdr>
        <w:top w:val="none" w:sz="0" w:space="0" w:color="auto"/>
        <w:left w:val="none" w:sz="0" w:space="0" w:color="auto"/>
        <w:bottom w:val="none" w:sz="0" w:space="0" w:color="auto"/>
        <w:right w:val="none" w:sz="0" w:space="0" w:color="auto"/>
      </w:divBdr>
    </w:div>
    <w:div w:id="1517158515">
      <w:bodyDiv w:val="1"/>
      <w:marLeft w:val="0"/>
      <w:marRight w:val="0"/>
      <w:marTop w:val="0"/>
      <w:marBottom w:val="0"/>
      <w:divBdr>
        <w:top w:val="none" w:sz="0" w:space="0" w:color="auto"/>
        <w:left w:val="none" w:sz="0" w:space="0" w:color="auto"/>
        <w:bottom w:val="none" w:sz="0" w:space="0" w:color="auto"/>
        <w:right w:val="none" w:sz="0" w:space="0" w:color="auto"/>
      </w:divBdr>
    </w:div>
    <w:div w:id="1578712635">
      <w:bodyDiv w:val="1"/>
      <w:marLeft w:val="0"/>
      <w:marRight w:val="0"/>
      <w:marTop w:val="0"/>
      <w:marBottom w:val="0"/>
      <w:divBdr>
        <w:top w:val="none" w:sz="0" w:space="0" w:color="auto"/>
        <w:left w:val="none" w:sz="0" w:space="0" w:color="auto"/>
        <w:bottom w:val="none" w:sz="0" w:space="0" w:color="auto"/>
        <w:right w:val="none" w:sz="0" w:space="0" w:color="auto"/>
      </w:divBdr>
    </w:div>
    <w:div w:id="1587767241">
      <w:bodyDiv w:val="1"/>
      <w:marLeft w:val="0"/>
      <w:marRight w:val="0"/>
      <w:marTop w:val="0"/>
      <w:marBottom w:val="0"/>
      <w:divBdr>
        <w:top w:val="none" w:sz="0" w:space="0" w:color="auto"/>
        <w:left w:val="none" w:sz="0" w:space="0" w:color="auto"/>
        <w:bottom w:val="none" w:sz="0" w:space="0" w:color="auto"/>
        <w:right w:val="none" w:sz="0" w:space="0" w:color="auto"/>
      </w:divBdr>
    </w:div>
    <w:div w:id="1611083153">
      <w:bodyDiv w:val="1"/>
      <w:marLeft w:val="0"/>
      <w:marRight w:val="0"/>
      <w:marTop w:val="0"/>
      <w:marBottom w:val="0"/>
      <w:divBdr>
        <w:top w:val="none" w:sz="0" w:space="0" w:color="auto"/>
        <w:left w:val="none" w:sz="0" w:space="0" w:color="auto"/>
        <w:bottom w:val="none" w:sz="0" w:space="0" w:color="auto"/>
        <w:right w:val="none" w:sz="0" w:space="0" w:color="auto"/>
      </w:divBdr>
    </w:div>
    <w:div w:id="1672371796">
      <w:bodyDiv w:val="1"/>
      <w:marLeft w:val="0"/>
      <w:marRight w:val="0"/>
      <w:marTop w:val="0"/>
      <w:marBottom w:val="0"/>
      <w:divBdr>
        <w:top w:val="none" w:sz="0" w:space="0" w:color="auto"/>
        <w:left w:val="none" w:sz="0" w:space="0" w:color="auto"/>
        <w:bottom w:val="none" w:sz="0" w:space="0" w:color="auto"/>
        <w:right w:val="none" w:sz="0" w:space="0" w:color="auto"/>
      </w:divBdr>
    </w:div>
    <w:div w:id="1834252318">
      <w:bodyDiv w:val="1"/>
      <w:marLeft w:val="0"/>
      <w:marRight w:val="0"/>
      <w:marTop w:val="0"/>
      <w:marBottom w:val="0"/>
      <w:divBdr>
        <w:top w:val="none" w:sz="0" w:space="0" w:color="auto"/>
        <w:left w:val="none" w:sz="0" w:space="0" w:color="auto"/>
        <w:bottom w:val="none" w:sz="0" w:space="0" w:color="auto"/>
        <w:right w:val="none" w:sz="0" w:space="0" w:color="auto"/>
      </w:divBdr>
    </w:div>
    <w:div w:id="1849826343">
      <w:bodyDiv w:val="1"/>
      <w:marLeft w:val="0"/>
      <w:marRight w:val="0"/>
      <w:marTop w:val="0"/>
      <w:marBottom w:val="0"/>
      <w:divBdr>
        <w:top w:val="none" w:sz="0" w:space="0" w:color="auto"/>
        <w:left w:val="none" w:sz="0" w:space="0" w:color="auto"/>
        <w:bottom w:val="none" w:sz="0" w:space="0" w:color="auto"/>
        <w:right w:val="none" w:sz="0" w:space="0" w:color="auto"/>
      </w:divBdr>
    </w:div>
    <w:div w:id="1850367097">
      <w:bodyDiv w:val="1"/>
      <w:marLeft w:val="0"/>
      <w:marRight w:val="0"/>
      <w:marTop w:val="0"/>
      <w:marBottom w:val="0"/>
      <w:divBdr>
        <w:top w:val="none" w:sz="0" w:space="0" w:color="auto"/>
        <w:left w:val="none" w:sz="0" w:space="0" w:color="auto"/>
        <w:bottom w:val="none" w:sz="0" w:space="0" w:color="auto"/>
        <w:right w:val="none" w:sz="0" w:space="0" w:color="auto"/>
      </w:divBdr>
    </w:div>
    <w:div w:id="1865366618">
      <w:bodyDiv w:val="1"/>
      <w:marLeft w:val="0"/>
      <w:marRight w:val="0"/>
      <w:marTop w:val="0"/>
      <w:marBottom w:val="0"/>
      <w:divBdr>
        <w:top w:val="none" w:sz="0" w:space="0" w:color="auto"/>
        <w:left w:val="none" w:sz="0" w:space="0" w:color="auto"/>
        <w:bottom w:val="none" w:sz="0" w:space="0" w:color="auto"/>
        <w:right w:val="none" w:sz="0" w:space="0" w:color="auto"/>
      </w:divBdr>
    </w:div>
    <w:div w:id="1895390045">
      <w:bodyDiv w:val="1"/>
      <w:marLeft w:val="0"/>
      <w:marRight w:val="0"/>
      <w:marTop w:val="0"/>
      <w:marBottom w:val="0"/>
      <w:divBdr>
        <w:top w:val="none" w:sz="0" w:space="0" w:color="auto"/>
        <w:left w:val="none" w:sz="0" w:space="0" w:color="auto"/>
        <w:bottom w:val="none" w:sz="0" w:space="0" w:color="auto"/>
        <w:right w:val="none" w:sz="0" w:space="0" w:color="auto"/>
      </w:divBdr>
    </w:div>
    <w:div w:id="1907108277">
      <w:bodyDiv w:val="1"/>
      <w:marLeft w:val="0"/>
      <w:marRight w:val="0"/>
      <w:marTop w:val="0"/>
      <w:marBottom w:val="0"/>
      <w:divBdr>
        <w:top w:val="none" w:sz="0" w:space="0" w:color="auto"/>
        <w:left w:val="none" w:sz="0" w:space="0" w:color="auto"/>
        <w:bottom w:val="none" w:sz="0" w:space="0" w:color="auto"/>
        <w:right w:val="none" w:sz="0" w:space="0" w:color="auto"/>
      </w:divBdr>
    </w:div>
    <w:div w:id="1936405140">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2017415086">
      <w:bodyDiv w:val="1"/>
      <w:marLeft w:val="0"/>
      <w:marRight w:val="0"/>
      <w:marTop w:val="0"/>
      <w:marBottom w:val="0"/>
      <w:divBdr>
        <w:top w:val="none" w:sz="0" w:space="0" w:color="auto"/>
        <w:left w:val="none" w:sz="0" w:space="0" w:color="auto"/>
        <w:bottom w:val="none" w:sz="0" w:space="0" w:color="auto"/>
        <w:right w:val="none" w:sz="0" w:space="0" w:color="auto"/>
      </w:divBdr>
    </w:div>
    <w:div w:id="2063366274">
      <w:bodyDiv w:val="1"/>
      <w:marLeft w:val="0"/>
      <w:marRight w:val="0"/>
      <w:marTop w:val="0"/>
      <w:marBottom w:val="0"/>
      <w:divBdr>
        <w:top w:val="none" w:sz="0" w:space="0" w:color="auto"/>
        <w:left w:val="none" w:sz="0" w:space="0" w:color="auto"/>
        <w:bottom w:val="none" w:sz="0" w:space="0" w:color="auto"/>
        <w:right w:val="none" w:sz="0" w:space="0" w:color="auto"/>
      </w:divBdr>
    </w:div>
    <w:div w:id="2134129611">
      <w:bodyDiv w:val="1"/>
      <w:marLeft w:val="0"/>
      <w:marRight w:val="0"/>
      <w:marTop w:val="0"/>
      <w:marBottom w:val="0"/>
      <w:divBdr>
        <w:top w:val="none" w:sz="0" w:space="0" w:color="auto"/>
        <w:left w:val="none" w:sz="0" w:space="0" w:color="auto"/>
        <w:bottom w:val="none" w:sz="0" w:space="0" w:color="auto"/>
        <w:right w:val="none" w:sz="0" w:space="0" w:color="auto"/>
      </w:divBdr>
    </w:div>
    <w:div w:id="2144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duus.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duu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Obecné"/>
          <w:gallery w:val="placeholder"/>
        </w:category>
        <w:types>
          <w:type w:val="bbPlcHdr"/>
        </w:types>
        <w:behaviors>
          <w:behavior w:val="content"/>
        </w:behaviors>
        <w:guid w:val="{FC94A616-26A7-4D07-BE92-4F151EB239A8}"/>
      </w:docPartPr>
      <w:docPartBody>
        <w:p w:rsidR="00C421B6" w:rsidRDefault="00F577D0">
          <w:r w:rsidRPr="00642C7E">
            <w:rPr>
              <w:rStyle w:val="Zstupntext"/>
            </w:rPr>
            <w:t>Zvolte položku.</w:t>
          </w:r>
        </w:p>
      </w:docPartBody>
    </w:docPart>
    <w:docPart>
      <w:docPartPr>
        <w:name w:val="DefaultPlaceholder_1082065160"/>
        <w:category>
          <w:name w:val="Obecné"/>
          <w:gallery w:val="placeholder"/>
        </w:category>
        <w:types>
          <w:type w:val="bbPlcHdr"/>
        </w:types>
        <w:behaviors>
          <w:behavior w:val="content"/>
        </w:behaviors>
        <w:guid w:val="{56BE2A72-3926-4D5A-A21C-3A35F5E805C2}"/>
      </w:docPartPr>
      <w:docPartBody>
        <w:p w:rsidR="00C421B6" w:rsidRDefault="00F577D0">
          <w:r w:rsidRPr="00642C7E">
            <w:rPr>
              <w:rStyle w:val="Zstupntext"/>
            </w:rPr>
            <w:t>Klikněte sem a zadejte datum.</w:t>
          </w:r>
        </w:p>
      </w:docPartBody>
    </w:docPart>
    <w:docPart>
      <w:docPartPr>
        <w:name w:val="BE43FFD6985A4C7CA596F7E5ED974054"/>
        <w:category>
          <w:name w:val="Obecné"/>
          <w:gallery w:val="placeholder"/>
        </w:category>
        <w:types>
          <w:type w:val="bbPlcHdr"/>
        </w:types>
        <w:behaviors>
          <w:behavior w:val="content"/>
        </w:behaviors>
        <w:guid w:val="{8FE69067-817E-4624-A895-954E5D6081F2}"/>
      </w:docPartPr>
      <w:docPartBody>
        <w:p w:rsidR="00C421B6" w:rsidRDefault="00F577D0" w:rsidP="00F577D0">
          <w:pPr>
            <w:pStyle w:val="BE43FFD6985A4C7CA596F7E5ED974054"/>
          </w:pPr>
          <w:r w:rsidRPr="00642C7E">
            <w:rPr>
              <w:rStyle w:val="Zstupntext"/>
            </w:rPr>
            <w:t>Zvolte položku.</w:t>
          </w:r>
        </w:p>
      </w:docPartBody>
    </w:docPart>
    <w:docPart>
      <w:docPartPr>
        <w:name w:val="F6FA081A50DC4CCCBBBC3055EFED8A43"/>
        <w:category>
          <w:name w:val="Obecné"/>
          <w:gallery w:val="placeholder"/>
        </w:category>
        <w:types>
          <w:type w:val="bbPlcHdr"/>
        </w:types>
        <w:behaviors>
          <w:behavior w:val="content"/>
        </w:behaviors>
        <w:guid w:val="{54EC240A-2C6D-4DF5-BBE1-3D3296841886}"/>
      </w:docPartPr>
      <w:docPartBody>
        <w:p w:rsidR="00052F81" w:rsidRDefault="00C421B6" w:rsidP="00C421B6">
          <w:pPr>
            <w:pStyle w:val="F6FA081A50DC4CCCBBBC3055EFED8A43"/>
          </w:pPr>
          <w:r w:rsidRPr="00642C7E">
            <w:rPr>
              <w:rStyle w:val="Zstupntext"/>
            </w:rPr>
            <w:t>Zvolte položku.</w:t>
          </w:r>
        </w:p>
      </w:docPartBody>
    </w:docPart>
    <w:docPart>
      <w:docPartPr>
        <w:name w:val="CA39DE51586946CB9B2D0324F2DB68E7"/>
        <w:category>
          <w:name w:val="Obecné"/>
          <w:gallery w:val="placeholder"/>
        </w:category>
        <w:types>
          <w:type w:val="bbPlcHdr"/>
        </w:types>
        <w:behaviors>
          <w:behavior w:val="content"/>
        </w:behaviors>
        <w:guid w:val="{3E901DB4-1F1D-473B-B279-75CE52EDC900}"/>
      </w:docPartPr>
      <w:docPartBody>
        <w:p w:rsidR="00052F81" w:rsidRDefault="00C421B6" w:rsidP="00C421B6">
          <w:pPr>
            <w:pStyle w:val="CA39DE51586946CB9B2D0324F2DB68E7"/>
          </w:pPr>
          <w:r w:rsidRPr="00642C7E">
            <w:rPr>
              <w:rStyle w:val="Zstupntext"/>
            </w:rPr>
            <w:t>Zvolte položku.</w:t>
          </w:r>
        </w:p>
      </w:docPartBody>
    </w:docPart>
    <w:docPart>
      <w:docPartPr>
        <w:name w:val="0BC4B185156E4738926E486F8B48703E"/>
        <w:category>
          <w:name w:val="Obecné"/>
          <w:gallery w:val="placeholder"/>
        </w:category>
        <w:types>
          <w:type w:val="bbPlcHdr"/>
        </w:types>
        <w:behaviors>
          <w:behavior w:val="content"/>
        </w:behaviors>
        <w:guid w:val="{DC265387-A0BB-4475-8BAC-6441F8B9E4E8}"/>
      </w:docPartPr>
      <w:docPartBody>
        <w:p w:rsidR="00052F81" w:rsidRDefault="00C421B6" w:rsidP="00C421B6">
          <w:pPr>
            <w:pStyle w:val="0BC4B185156E4738926E486F8B48703E"/>
          </w:pPr>
          <w:r w:rsidRPr="00642C7E">
            <w:rPr>
              <w:rStyle w:val="Zstupntext"/>
            </w:rPr>
            <w:t>Zvolte položku.</w:t>
          </w:r>
        </w:p>
      </w:docPartBody>
    </w:docPart>
    <w:docPart>
      <w:docPartPr>
        <w:name w:val="93327078E3444C569027CF951C8029DE"/>
        <w:category>
          <w:name w:val="Obecné"/>
          <w:gallery w:val="placeholder"/>
        </w:category>
        <w:types>
          <w:type w:val="bbPlcHdr"/>
        </w:types>
        <w:behaviors>
          <w:behavior w:val="content"/>
        </w:behaviors>
        <w:guid w:val="{FBC05553-B351-4586-A04E-4F08349AAF3A}"/>
      </w:docPartPr>
      <w:docPartBody>
        <w:p w:rsidR="000C20BD" w:rsidRDefault="00AA7262" w:rsidP="00AA7262">
          <w:pPr>
            <w:pStyle w:val="93327078E3444C569027CF951C8029DE"/>
          </w:pPr>
          <w:r w:rsidRPr="00642C7E">
            <w:rPr>
              <w:rStyle w:val="Zstupntext"/>
            </w:rPr>
            <w:t>Zvolte položku.</w:t>
          </w:r>
        </w:p>
      </w:docPartBody>
    </w:docPart>
    <w:docPart>
      <w:docPartPr>
        <w:name w:val="703F57D71E6045D9A42169A26C6F319B"/>
        <w:category>
          <w:name w:val="Obecné"/>
          <w:gallery w:val="placeholder"/>
        </w:category>
        <w:types>
          <w:type w:val="bbPlcHdr"/>
        </w:types>
        <w:behaviors>
          <w:behavior w:val="content"/>
        </w:behaviors>
        <w:guid w:val="{D499D8AC-34B2-46E3-AA44-F65DDCD24BAA}"/>
      </w:docPartPr>
      <w:docPartBody>
        <w:p w:rsidR="000C20BD" w:rsidRDefault="00AA7262" w:rsidP="00AA7262">
          <w:pPr>
            <w:pStyle w:val="703F57D71E6045D9A42169A26C6F319B"/>
          </w:pPr>
          <w:r w:rsidRPr="00642C7E">
            <w:rPr>
              <w:rStyle w:val="Zstupntext"/>
            </w:rPr>
            <w:t>Zvolte položku.</w:t>
          </w:r>
        </w:p>
      </w:docPartBody>
    </w:docPart>
    <w:docPart>
      <w:docPartPr>
        <w:name w:val="7A52452432274289941197EB78DB13B0"/>
        <w:category>
          <w:name w:val="Obecné"/>
          <w:gallery w:val="placeholder"/>
        </w:category>
        <w:types>
          <w:type w:val="bbPlcHdr"/>
        </w:types>
        <w:behaviors>
          <w:behavior w:val="content"/>
        </w:behaviors>
        <w:guid w:val="{5FBB1FD3-97E4-41BB-BB47-ADFE7C4CA731}"/>
      </w:docPartPr>
      <w:docPartBody>
        <w:p w:rsidR="000C20BD" w:rsidRDefault="00AA7262" w:rsidP="00AA7262">
          <w:pPr>
            <w:pStyle w:val="7A52452432274289941197EB78DB13B0"/>
          </w:pPr>
          <w:r w:rsidRPr="00642C7E">
            <w:rPr>
              <w:rStyle w:val="Zstupntext"/>
            </w:rPr>
            <w:t>Zvolte položku.</w:t>
          </w:r>
        </w:p>
      </w:docPartBody>
    </w:docPart>
    <w:docPart>
      <w:docPartPr>
        <w:name w:val="110635CDA2EB4FA58E946A07B952C3B4"/>
        <w:category>
          <w:name w:val="Obecné"/>
          <w:gallery w:val="placeholder"/>
        </w:category>
        <w:types>
          <w:type w:val="bbPlcHdr"/>
        </w:types>
        <w:behaviors>
          <w:behavior w:val="content"/>
        </w:behaviors>
        <w:guid w:val="{D50EA462-777E-4A0D-9434-9AAA4BBF2E60}"/>
      </w:docPartPr>
      <w:docPartBody>
        <w:p w:rsidR="000C20BD" w:rsidRDefault="00AA7262" w:rsidP="00AA7262">
          <w:pPr>
            <w:pStyle w:val="110635CDA2EB4FA58E946A07B952C3B4"/>
          </w:pPr>
          <w:r w:rsidRPr="00642C7E">
            <w:rPr>
              <w:rStyle w:val="Zstupntext"/>
            </w:rPr>
            <w:t>Zvolte položku.</w:t>
          </w:r>
        </w:p>
      </w:docPartBody>
    </w:docPart>
    <w:docPart>
      <w:docPartPr>
        <w:name w:val="B76D5FA3E4574CBBB7FDE4BF7C02D97A"/>
        <w:category>
          <w:name w:val="Obecné"/>
          <w:gallery w:val="placeholder"/>
        </w:category>
        <w:types>
          <w:type w:val="bbPlcHdr"/>
        </w:types>
        <w:behaviors>
          <w:behavior w:val="content"/>
        </w:behaviors>
        <w:guid w:val="{0453EFBF-1C16-473D-96B2-279F9C46C2CB}"/>
      </w:docPartPr>
      <w:docPartBody>
        <w:p w:rsidR="000C20BD" w:rsidRDefault="00AA7262" w:rsidP="00AA7262">
          <w:pPr>
            <w:pStyle w:val="B76D5FA3E4574CBBB7FDE4BF7C02D97A"/>
          </w:pPr>
          <w:r w:rsidRPr="00642C7E">
            <w:rPr>
              <w:rStyle w:val="Zstupntext"/>
            </w:rPr>
            <w:t>Zvolte položku.</w:t>
          </w:r>
        </w:p>
      </w:docPartBody>
    </w:docPart>
    <w:docPart>
      <w:docPartPr>
        <w:name w:val="BE079C109BB14A8EAF6CE86122A4D4AB"/>
        <w:category>
          <w:name w:val="Obecné"/>
          <w:gallery w:val="placeholder"/>
        </w:category>
        <w:types>
          <w:type w:val="bbPlcHdr"/>
        </w:types>
        <w:behaviors>
          <w:behavior w:val="content"/>
        </w:behaviors>
        <w:guid w:val="{6201D186-9604-4A96-8A38-AB130A63C0B6}"/>
      </w:docPartPr>
      <w:docPartBody>
        <w:p w:rsidR="000C20BD" w:rsidRDefault="00AA7262" w:rsidP="00AA7262">
          <w:pPr>
            <w:pStyle w:val="BE079C109BB14A8EAF6CE86122A4D4AB"/>
          </w:pPr>
          <w:r w:rsidRPr="00642C7E">
            <w:rPr>
              <w:rStyle w:val="Zstupntext"/>
            </w:rPr>
            <w:t>Zvolte položku.</w:t>
          </w:r>
        </w:p>
      </w:docPartBody>
    </w:docPart>
    <w:docPart>
      <w:docPartPr>
        <w:name w:val="050E83BC497645C29837C466EC1822AF"/>
        <w:category>
          <w:name w:val="Obecné"/>
          <w:gallery w:val="placeholder"/>
        </w:category>
        <w:types>
          <w:type w:val="bbPlcHdr"/>
        </w:types>
        <w:behaviors>
          <w:behavior w:val="content"/>
        </w:behaviors>
        <w:guid w:val="{4CF0F7BE-3A0F-4C9A-816F-4F3C4689A55B}"/>
      </w:docPartPr>
      <w:docPartBody>
        <w:p w:rsidR="000C20BD" w:rsidRDefault="00AA7262" w:rsidP="00AA7262">
          <w:pPr>
            <w:pStyle w:val="050E83BC497645C29837C466EC1822AF"/>
          </w:pPr>
          <w:r w:rsidRPr="00642C7E">
            <w:rPr>
              <w:rStyle w:val="Zstupntext"/>
            </w:rPr>
            <w:t>Zvolte položku.</w:t>
          </w:r>
        </w:p>
      </w:docPartBody>
    </w:docPart>
    <w:docPart>
      <w:docPartPr>
        <w:name w:val="649789E89DEE4E3BB55CAE8D99766B8D"/>
        <w:category>
          <w:name w:val="Obecné"/>
          <w:gallery w:val="placeholder"/>
        </w:category>
        <w:types>
          <w:type w:val="bbPlcHdr"/>
        </w:types>
        <w:behaviors>
          <w:behavior w:val="content"/>
        </w:behaviors>
        <w:guid w:val="{5F9898C5-E6EA-4DEB-9940-ABA9C3FAEC75}"/>
      </w:docPartPr>
      <w:docPartBody>
        <w:p w:rsidR="00B53B87" w:rsidRDefault="0066185C" w:rsidP="0066185C">
          <w:pPr>
            <w:pStyle w:val="649789E89DEE4E3BB55CAE8D99766B8D"/>
          </w:pPr>
          <w:r w:rsidRPr="00642C7E">
            <w:rPr>
              <w:rStyle w:val="Zstupntext"/>
            </w:rPr>
            <w:t>Zvolte položku.</w:t>
          </w:r>
        </w:p>
      </w:docPartBody>
    </w:docPart>
    <w:docPart>
      <w:docPartPr>
        <w:name w:val="9697F8A2D1A347FE8CCA3D5A953E6988"/>
        <w:category>
          <w:name w:val="Obecné"/>
          <w:gallery w:val="placeholder"/>
        </w:category>
        <w:types>
          <w:type w:val="bbPlcHdr"/>
        </w:types>
        <w:behaviors>
          <w:behavior w:val="content"/>
        </w:behaviors>
        <w:guid w:val="{70C36CDD-61C0-478D-8D28-30E3D438F2A6}"/>
      </w:docPartPr>
      <w:docPartBody>
        <w:p w:rsidR="00094D6A" w:rsidRDefault="00BA24C3" w:rsidP="00BA24C3">
          <w:pPr>
            <w:pStyle w:val="9697F8A2D1A347FE8CCA3D5A953E6988"/>
          </w:pPr>
          <w:r w:rsidRPr="00642C7E">
            <w:rPr>
              <w:rStyle w:val="Zstupntext"/>
            </w:rPr>
            <w:t>Zvolte položku.</w:t>
          </w:r>
        </w:p>
      </w:docPartBody>
    </w:docPart>
    <w:docPart>
      <w:docPartPr>
        <w:name w:val="CED38BDC683B4FD781B4EE9F2D22C005"/>
        <w:category>
          <w:name w:val="Obecné"/>
          <w:gallery w:val="placeholder"/>
        </w:category>
        <w:types>
          <w:type w:val="bbPlcHdr"/>
        </w:types>
        <w:behaviors>
          <w:behavior w:val="content"/>
        </w:behaviors>
        <w:guid w:val="{2D7357B3-8068-4E84-8FF2-8B716F2E6CBB}"/>
      </w:docPartPr>
      <w:docPartBody>
        <w:p w:rsidR="00094D6A" w:rsidRDefault="00BA24C3" w:rsidP="00BA24C3">
          <w:pPr>
            <w:pStyle w:val="CED38BDC683B4FD781B4EE9F2D22C005"/>
          </w:pPr>
          <w:r w:rsidRPr="00642C7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rope">
    <w:altName w:val="Calibri"/>
    <w:charset w:val="EE"/>
    <w:family w:val="auto"/>
    <w:pitch w:val="variable"/>
    <w:sig w:usb0="A00002BF" w:usb1="5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7D0"/>
    <w:rsid w:val="00052F81"/>
    <w:rsid w:val="00094D6A"/>
    <w:rsid w:val="000C20BD"/>
    <w:rsid w:val="00355FA4"/>
    <w:rsid w:val="003802E0"/>
    <w:rsid w:val="004B340C"/>
    <w:rsid w:val="0066185C"/>
    <w:rsid w:val="00906C0A"/>
    <w:rsid w:val="00AA7262"/>
    <w:rsid w:val="00B53B87"/>
    <w:rsid w:val="00BA24C3"/>
    <w:rsid w:val="00C421B6"/>
    <w:rsid w:val="00F57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4D6A"/>
    <w:rPr>
      <w:color w:val="808080"/>
    </w:rPr>
  </w:style>
  <w:style w:type="paragraph" w:customStyle="1" w:styleId="BE43FFD6985A4C7CA596F7E5ED974054">
    <w:name w:val="BE43FFD6985A4C7CA596F7E5ED974054"/>
    <w:rsid w:val="00F577D0"/>
  </w:style>
  <w:style w:type="paragraph" w:customStyle="1" w:styleId="F6FA081A50DC4CCCBBBC3055EFED8A43">
    <w:name w:val="F6FA081A50DC4CCCBBBC3055EFED8A43"/>
    <w:rsid w:val="00C421B6"/>
  </w:style>
  <w:style w:type="paragraph" w:customStyle="1" w:styleId="CA39DE51586946CB9B2D0324F2DB68E7">
    <w:name w:val="CA39DE51586946CB9B2D0324F2DB68E7"/>
    <w:rsid w:val="00C421B6"/>
  </w:style>
  <w:style w:type="paragraph" w:customStyle="1" w:styleId="0BC4B185156E4738926E486F8B48703E">
    <w:name w:val="0BC4B185156E4738926E486F8B48703E"/>
    <w:rsid w:val="00C421B6"/>
  </w:style>
  <w:style w:type="paragraph" w:customStyle="1" w:styleId="93327078E3444C569027CF951C8029DE">
    <w:name w:val="93327078E3444C569027CF951C8029DE"/>
    <w:rsid w:val="00AA7262"/>
  </w:style>
  <w:style w:type="paragraph" w:customStyle="1" w:styleId="703F57D71E6045D9A42169A26C6F319B">
    <w:name w:val="703F57D71E6045D9A42169A26C6F319B"/>
    <w:rsid w:val="00AA7262"/>
  </w:style>
  <w:style w:type="paragraph" w:customStyle="1" w:styleId="7A52452432274289941197EB78DB13B0">
    <w:name w:val="7A52452432274289941197EB78DB13B0"/>
    <w:rsid w:val="00AA7262"/>
  </w:style>
  <w:style w:type="paragraph" w:customStyle="1" w:styleId="110635CDA2EB4FA58E946A07B952C3B4">
    <w:name w:val="110635CDA2EB4FA58E946A07B952C3B4"/>
    <w:rsid w:val="00AA7262"/>
  </w:style>
  <w:style w:type="paragraph" w:customStyle="1" w:styleId="B76D5FA3E4574CBBB7FDE4BF7C02D97A">
    <w:name w:val="B76D5FA3E4574CBBB7FDE4BF7C02D97A"/>
    <w:rsid w:val="00AA7262"/>
  </w:style>
  <w:style w:type="paragraph" w:customStyle="1" w:styleId="BE079C109BB14A8EAF6CE86122A4D4AB">
    <w:name w:val="BE079C109BB14A8EAF6CE86122A4D4AB"/>
    <w:rsid w:val="00AA7262"/>
  </w:style>
  <w:style w:type="paragraph" w:customStyle="1" w:styleId="050E83BC497645C29837C466EC1822AF">
    <w:name w:val="050E83BC497645C29837C466EC1822AF"/>
    <w:rsid w:val="00AA7262"/>
  </w:style>
  <w:style w:type="paragraph" w:customStyle="1" w:styleId="649789E89DEE4E3BB55CAE8D99766B8D">
    <w:name w:val="649789E89DEE4E3BB55CAE8D99766B8D"/>
    <w:rsid w:val="0066185C"/>
    <w:pPr>
      <w:spacing w:after="160" w:line="259" w:lineRule="auto"/>
    </w:pPr>
  </w:style>
  <w:style w:type="paragraph" w:customStyle="1" w:styleId="9697F8A2D1A347FE8CCA3D5A953E6988">
    <w:name w:val="9697F8A2D1A347FE8CCA3D5A953E6988"/>
    <w:rsid w:val="00BA24C3"/>
    <w:pPr>
      <w:spacing w:after="160" w:line="259" w:lineRule="auto"/>
    </w:pPr>
  </w:style>
  <w:style w:type="paragraph" w:customStyle="1" w:styleId="CED38BDC683B4FD781B4EE9F2D22C005">
    <w:name w:val="CED38BDC683B4FD781B4EE9F2D22C005"/>
    <w:rsid w:val="00BA2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78AF-730F-4B4F-8466-DAC40C2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1550</Words>
  <Characters>9145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Horák</dc:creator>
  <cp:lastModifiedBy>Renata Dobrovodská</cp:lastModifiedBy>
  <cp:revision>8</cp:revision>
  <cp:lastPrinted>2021-05-04T12:21:00Z</cp:lastPrinted>
  <dcterms:created xsi:type="dcterms:W3CDTF">2022-10-07T08:34:00Z</dcterms:created>
  <dcterms:modified xsi:type="dcterms:W3CDTF">2022-10-12T12:07:00Z</dcterms:modified>
</cp:coreProperties>
</file>